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5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bdr w:val="single" w:sz="4" w:space="0" w:color="auto"/>
        </w:rPr>
      </w:pPr>
      <w:r>
        <w:rPr>
          <w:b/>
          <w:bCs/>
        </w:rPr>
        <w:t>28 – Informations BBS Avril 2011. Résumé par F.Lestel d’articles parus sur Internet</w:t>
      </w:r>
    </w:p>
    <w:p w:rsidR="00000000" w:rsidRDefault="00B05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bdr w:val="single" w:sz="4" w:space="0" w:color="auto"/>
        </w:rPr>
      </w:pPr>
      <w:r>
        <w:rPr>
          <w:rFonts w:ascii="Arial" w:hAnsi="Arial" w:cs="Arial"/>
          <w:i/>
          <w:iCs/>
          <w:w w:val="105"/>
          <w:sz w:val="20"/>
          <w:szCs w:val="20"/>
        </w:rPr>
        <w:t>Comme toujours, sous réserve d’éventuelles erreurs de l’article originel ou de la traduction</w:t>
      </w:r>
    </w:p>
    <w:p w:rsidR="00000000" w:rsidRDefault="00B05230"/>
    <w:p w:rsidR="00000000" w:rsidRDefault="00B05230">
      <w:pPr>
        <w:rPr>
          <w:b/>
          <w:bCs/>
        </w:rPr>
      </w:pPr>
      <w:r>
        <w:rPr>
          <w:b/>
          <w:bCs/>
        </w:rPr>
        <w:t>1) Base de données anomalies génétiques</w:t>
      </w:r>
    </w:p>
    <w:p w:rsidR="00000000" w:rsidRDefault="00B05230">
      <w:r>
        <w:br/>
        <w:t>Il existe une nomenclature commune de</w:t>
      </w:r>
      <w:r>
        <w:t xml:space="preserve">s variations génétiques : la terminologie du </w:t>
      </w:r>
      <w:r>
        <w:rPr>
          <w:i/>
          <w:iCs/>
        </w:rPr>
        <w:t>Locus-Reference-Genomic</w:t>
      </w:r>
      <w:r>
        <w:t xml:space="preserve"> (</w:t>
      </w:r>
      <w:hyperlink r:id="rId4" w:tgtFrame="_blank" w:history="1">
        <w:r>
          <w:rPr>
            <w:rStyle w:val="Lienhypertexte"/>
          </w:rPr>
          <w:t>www.lrg-sequence.org</w:t>
        </w:r>
      </w:hyperlink>
      <w:r>
        <w:t xml:space="preserve">), qui n’est pas suffisamment utilisée à l’heure actuelle. Tous les variants devraient être déclarés </w:t>
      </w:r>
      <w:r>
        <w:t>dans la base de données spécifique d’un locus (</w:t>
      </w:r>
      <w:r>
        <w:rPr>
          <w:i/>
          <w:iCs/>
        </w:rPr>
        <w:t>Locus-Specific DataBase</w:t>
      </w:r>
      <w:r>
        <w:t>, LSDB). Mais il n’existe pas encore de terminologie universelle pour le stockage des données cliniques. Un service Web a été mis en place pour mieux communiquer</w:t>
      </w:r>
    </w:p>
    <w:p w:rsidR="00000000" w:rsidRDefault="00B05230">
      <w:r>
        <w:br/>
        <w:t>Actuellement, quelque 1</w:t>
      </w:r>
      <w:r>
        <w:t>50 génomes entiers sont séquencés chaque jour. Chacun révèle 250 à 300 variants de type « perte de fonction », dont 100 ont déjà été impliqués dans des troubles héréditaires. Personne ne sait comment gérer ce tsunami d’informations. Les projets s’appellent</w:t>
      </w:r>
      <w:r>
        <w:t xml:space="preserve"> « Séquençage de génome entier »(</w:t>
      </w:r>
      <w:r>
        <w:rPr>
          <w:i/>
          <w:iCs/>
        </w:rPr>
        <w:t>Whole Genome Sequencing</w:t>
      </w:r>
      <w:r>
        <w:t>, WGS) et le Séquençage d’exome entier (</w:t>
      </w:r>
      <w:r>
        <w:rPr>
          <w:i/>
          <w:iCs/>
        </w:rPr>
        <w:t>Whole Exome Sequencing</w:t>
      </w:r>
      <w:r>
        <w:t>, WES).</w:t>
      </w:r>
    </w:p>
    <w:p w:rsidR="00000000" w:rsidRDefault="00B05230"/>
    <w:p w:rsidR="00000000" w:rsidRDefault="00B05230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000000" w:rsidRDefault="00B05230">
      <w:pPr>
        <w:rPr>
          <w:b/>
          <w:bCs/>
        </w:rPr>
      </w:pPr>
      <w:r>
        <w:rPr>
          <w:b/>
          <w:bCs/>
        </w:rPr>
        <w:t>2) Conférences à venir (rappel)</w:t>
      </w:r>
      <w:r>
        <w:rPr>
          <w:b/>
          <w:bCs/>
        </w:rPr>
        <w:br/>
      </w:r>
    </w:p>
    <w:p w:rsidR="00000000" w:rsidRDefault="00B05230">
      <w:r>
        <w:t>2.1) la conférence de Northampton, UK est le Samedi 16 Avril 2011. Phil Beales, Nicholas Katsan</w:t>
      </w:r>
      <w:r>
        <w:t xml:space="preserve">is et Hélène Dollfus feront le point sur les avancées génétique du syndrome. J’y serai et vous raconterai !  </w:t>
      </w:r>
    </w:p>
    <w:p w:rsidR="00000000" w:rsidRDefault="00B05230"/>
    <w:p w:rsidR="00000000" w:rsidRDefault="00B05230">
      <w:pPr>
        <w:pStyle w:val="Corpsdetexte"/>
        <w:spacing w:before="120"/>
        <w:rPr>
          <w:rStyle w:val="titre1"/>
          <w:b w:val="0"/>
          <w:bCs w:val="0"/>
        </w:rPr>
      </w:pPr>
      <w:r>
        <w:rPr>
          <w:b w:val="0"/>
          <w:bCs w:val="0"/>
        </w:rPr>
        <w:t>2.2)</w:t>
      </w:r>
      <w:r>
        <w:t xml:space="preserve"> </w:t>
      </w:r>
      <w:r>
        <w:rPr>
          <w:rStyle w:val="titre1"/>
          <w:b w:val="0"/>
          <w:bCs w:val="0"/>
        </w:rPr>
        <w:t>la conférence DeViNT (Déficients Visuels &amp; Nouvelles Technologies) aura lieu le jeudi 26 Mai 2011 à Sophia-Antipolis (Alpes Maritimes), et f</w:t>
      </w:r>
      <w:r>
        <w:rPr>
          <w:rStyle w:val="titre1"/>
          <w:b w:val="0"/>
          <w:bCs w:val="0"/>
        </w:rPr>
        <w:t>era le point sur les nouvelles technologies appliquées aux aveugles ou déficients visuels. La langue est le français, mais il y aura des intervenants en anglais avec traduction simultanée en français.</w:t>
      </w:r>
    </w:p>
    <w:p w:rsidR="00000000" w:rsidRDefault="00B05230">
      <w:pPr>
        <w:pStyle w:val="Corpsdetexte"/>
        <w:spacing w:before="120"/>
        <w:rPr>
          <w:rStyle w:val="titre1"/>
          <w:b w:val="0"/>
          <w:bCs w:val="0"/>
        </w:rPr>
      </w:pPr>
      <w:r>
        <w:rPr>
          <w:rStyle w:val="titre1"/>
          <w:b w:val="0"/>
          <w:bCs w:val="0"/>
        </w:rPr>
        <w:t xml:space="preserve">Un programme préliminaire se trouve sous : </w:t>
      </w:r>
    </w:p>
    <w:p w:rsidR="00000000" w:rsidRDefault="00B05230">
      <w:pPr>
        <w:pStyle w:val="Corpsdetexte"/>
        <w:spacing w:before="120"/>
        <w:rPr>
          <w:rStyle w:val="titre1"/>
          <w:b w:val="0"/>
          <w:bCs w:val="0"/>
        </w:rPr>
      </w:pPr>
      <w:hyperlink r:id="rId5" w:history="1">
        <w:r>
          <w:rPr>
            <w:rStyle w:val="Lienhypertexte"/>
          </w:rPr>
          <w:t>http://devint.polytech.unice.fr/index.html</w:t>
        </w:r>
      </w:hyperlink>
    </w:p>
    <w:p w:rsidR="00000000" w:rsidRDefault="00B05230">
      <w:pPr>
        <w:pStyle w:val="Corpsdetexte"/>
        <w:spacing w:before="120"/>
        <w:rPr>
          <w:rStyle w:val="titre1"/>
          <w:b w:val="0"/>
          <w:bCs w:val="0"/>
        </w:rPr>
      </w:pPr>
    </w:p>
    <w:p w:rsidR="00000000" w:rsidRDefault="00B05230">
      <w:pPr>
        <w:pStyle w:val="Corpsdetexte"/>
        <w:spacing w:before="120"/>
        <w:rPr>
          <w:rStyle w:val="titre1"/>
          <w:b w:val="0"/>
          <w:bCs w:val="0"/>
        </w:rPr>
      </w:pPr>
    </w:p>
    <w:p w:rsidR="00000000" w:rsidRDefault="00B05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bdr w:val="single" w:sz="4" w:space="0" w:color="auto"/>
          <w:lang w:val="en-GB"/>
        </w:rPr>
      </w:pPr>
      <w:r>
        <w:rPr>
          <w:rStyle w:val="titre1"/>
          <w:b/>
          <w:bCs/>
          <w:lang w:val="en-GB"/>
        </w:rPr>
        <w:br w:type="page"/>
      </w:r>
      <w:r>
        <w:rPr>
          <w:b/>
          <w:bCs/>
          <w:lang w:val="en-GB"/>
        </w:rPr>
        <w:lastRenderedPageBreak/>
        <w:t>28 – Information BBS April 2011. Summary by F.Lestel of articles from Internet</w:t>
      </w:r>
    </w:p>
    <w:p w:rsidR="00000000" w:rsidRDefault="00B05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bdr w:val="single" w:sz="4" w:space="0" w:color="auto"/>
          <w:lang w:val="en-GB"/>
        </w:rPr>
      </w:pPr>
      <w:r>
        <w:rPr>
          <w:rFonts w:ascii="Arial" w:hAnsi="Arial" w:cs="Arial"/>
          <w:i/>
          <w:iCs/>
          <w:w w:val="105"/>
          <w:sz w:val="20"/>
          <w:szCs w:val="20"/>
          <w:lang w:val="en-GB"/>
        </w:rPr>
        <w:t>As usual, without guarantee of possible mistakes in the original article or in the</w:t>
      </w:r>
      <w:r>
        <w:rPr>
          <w:rFonts w:ascii="Arial" w:hAnsi="Arial" w:cs="Arial"/>
          <w:i/>
          <w:iCs/>
          <w:w w:val="105"/>
          <w:sz w:val="20"/>
          <w:szCs w:val="20"/>
          <w:lang w:val="en-GB"/>
        </w:rPr>
        <w:t xml:space="preserve"> translation.</w:t>
      </w:r>
    </w:p>
    <w:p w:rsidR="00000000" w:rsidRDefault="00B05230">
      <w:pPr>
        <w:rPr>
          <w:rStyle w:val="titre1"/>
          <w:b/>
          <w:bCs/>
          <w:lang w:val="en-GB"/>
        </w:rPr>
      </w:pPr>
    </w:p>
    <w:p w:rsidR="00000000" w:rsidRDefault="00B05230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1) Data Base genetic anomalies </w:t>
      </w:r>
    </w:p>
    <w:p w:rsidR="00000000" w:rsidRDefault="00B05230">
      <w:pPr>
        <w:rPr>
          <w:lang w:val="en-GB"/>
        </w:rPr>
      </w:pPr>
      <w:r>
        <w:rPr>
          <w:lang w:val="en-GB"/>
        </w:rPr>
        <w:br/>
        <w:t xml:space="preserve">The common nomenclature of genetic variations is the </w:t>
      </w:r>
      <w:r>
        <w:rPr>
          <w:i/>
          <w:iCs/>
          <w:lang w:val="en-GB"/>
        </w:rPr>
        <w:t>Locus-Reference-Genomic</w:t>
      </w:r>
      <w:r>
        <w:rPr>
          <w:lang w:val="en-GB"/>
        </w:rPr>
        <w:t xml:space="preserve"> (</w:t>
      </w:r>
      <w:hyperlink r:id="rId6" w:tgtFrame="_blank" w:history="1">
        <w:r>
          <w:rPr>
            <w:rStyle w:val="Lienhypertexte"/>
            <w:lang w:val="en-GB"/>
          </w:rPr>
          <w:t>www.lrg-sequence.org</w:t>
        </w:r>
      </w:hyperlink>
      <w:r>
        <w:rPr>
          <w:lang w:val="en-GB"/>
        </w:rPr>
        <w:t xml:space="preserve">), unsufficiently used nowadays; it provides </w:t>
      </w:r>
      <w:r>
        <w:rPr>
          <w:lang w:val="en-GB"/>
        </w:rPr>
        <w:t>a coordinate system for permanent and unambiguous reporting of disease-causing variants.</w:t>
      </w:r>
    </w:p>
    <w:p w:rsidR="00000000" w:rsidRDefault="00B05230">
      <w:pPr>
        <w:rPr>
          <w:lang w:val="en-GB"/>
        </w:rPr>
      </w:pPr>
      <w:r>
        <w:rPr>
          <w:lang w:val="en-GB"/>
        </w:rPr>
        <w:t>All variants of a locus should be declared in the specific database (</w:t>
      </w:r>
      <w:r>
        <w:rPr>
          <w:i/>
          <w:iCs/>
          <w:lang w:val="en-GB"/>
        </w:rPr>
        <w:t>Locus-Specific DataBase</w:t>
      </w:r>
      <w:r>
        <w:rPr>
          <w:lang w:val="en-GB"/>
        </w:rPr>
        <w:t xml:space="preserve">, LSDB). But there is no universal terminology for the storage of clinical </w:t>
      </w:r>
      <w:r>
        <w:rPr>
          <w:lang w:val="en-GB"/>
        </w:rPr>
        <w:t xml:space="preserve">data. A Web service has been put in place to better communicate. </w:t>
      </w:r>
    </w:p>
    <w:p w:rsidR="00000000" w:rsidRDefault="00B05230">
      <w:pPr>
        <w:rPr>
          <w:lang w:val="en-GB"/>
        </w:rPr>
      </w:pPr>
      <w:r>
        <w:rPr>
          <w:lang w:val="en-GB"/>
        </w:rPr>
        <w:br/>
        <w:t>Presently, about 150 full genomes are sequenced each day. Each has 250 to 300 variants type « loss of function », out of which 100 have already been implied in inherited troubles. Nobody kn</w:t>
      </w:r>
      <w:r>
        <w:rPr>
          <w:lang w:val="en-GB"/>
        </w:rPr>
        <w:t xml:space="preserve">ows haw to handle this overflow of information. Projects are </w:t>
      </w:r>
      <w:r>
        <w:rPr>
          <w:i/>
          <w:iCs/>
          <w:lang w:val="en-GB"/>
        </w:rPr>
        <w:t>Whole Genome Sequencing</w:t>
      </w:r>
      <w:r>
        <w:rPr>
          <w:lang w:val="en-GB"/>
        </w:rPr>
        <w:t xml:space="preserve">, (WGS) and  </w:t>
      </w:r>
      <w:r>
        <w:rPr>
          <w:i/>
          <w:iCs/>
          <w:lang w:val="en-GB"/>
        </w:rPr>
        <w:t>Whole Exome Sequencing</w:t>
      </w:r>
      <w:r>
        <w:rPr>
          <w:lang w:val="en-GB"/>
        </w:rPr>
        <w:t xml:space="preserve"> (WES).</w:t>
      </w:r>
    </w:p>
    <w:p w:rsidR="00000000" w:rsidRDefault="00B05230">
      <w:pPr>
        <w:rPr>
          <w:lang w:val="en-GB"/>
        </w:rPr>
      </w:pPr>
    </w:p>
    <w:p w:rsidR="00000000" w:rsidRDefault="00B05230">
      <w:pPr>
        <w:pStyle w:val="Corpsdetexte"/>
        <w:rPr>
          <w:rStyle w:val="titre1"/>
          <w:lang w:val="en-GB"/>
        </w:rPr>
      </w:pPr>
      <w:r>
        <w:rPr>
          <w:rStyle w:val="titre1"/>
          <w:lang w:val="en-GB"/>
        </w:rPr>
        <w:t>2) Conferences to come (reminder)</w:t>
      </w:r>
    </w:p>
    <w:p w:rsidR="00000000" w:rsidRDefault="00B05230">
      <w:pPr>
        <w:pStyle w:val="Corpsdetexte"/>
        <w:spacing w:before="120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>2.1) The conference of Northampton, UK is on Saturday 16 April 2011. Phil Beales, Nicholas Kat</w:t>
      </w:r>
      <w:r>
        <w:rPr>
          <w:b w:val="0"/>
          <w:bCs w:val="0"/>
          <w:lang w:val="en-GB"/>
        </w:rPr>
        <w:t xml:space="preserve">sanis and Hélène Dollfus will speak about genetics of the syndrome. I’ll be there and report to you !  </w:t>
      </w:r>
    </w:p>
    <w:p w:rsidR="00000000" w:rsidRDefault="00B05230">
      <w:pPr>
        <w:pStyle w:val="Corpsdetexte"/>
        <w:spacing w:before="120"/>
        <w:rPr>
          <w:rStyle w:val="titre1"/>
          <w:b w:val="0"/>
          <w:bCs w:val="0"/>
          <w:lang w:val="en-GB"/>
        </w:rPr>
      </w:pPr>
      <w:r>
        <w:rPr>
          <w:b w:val="0"/>
          <w:bCs w:val="0"/>
          <w:lang w:val="en-GB"/>
        </w:rPr>
        <w:t xml:space="preserve">2.2) the </w:t>
      </w:r>
      <w:r>
        <w:rPr>
          <w:rStyle w:val="titre1"/>
          <w:b w:val="0"/>
          <w:bCs w:val="0"/>
          <w:lang w:val="en-GB"/>
        </w:rPr>
        <w:t xml:space="preserve">DEViNT </w:t>
      </w:r>
      <w:r>
        <w:rPr>
          <w:b w:val="0"/>
          <w:bCs w:val="0"/>
          <w:lang w:val="en-GB"/>
        </w:rPr>
        <w:t xml:space="preserve">conference will take place on </w:t>
      </w:r>
      <w:r>
        <w:rPr>
          <w:rStyle w:val="titre1"/>
          <w:b w:val="0"/>
          <w:bCs w:val="0"/>
          <w:lang w:val="en-GB"/>
        </w:rPr>
        <w:t xml:space="preserve">Thursday 26 May 2010 </w:t>
      </w:r>
      <w:r>
        <w:rPr>
          <w:b w:val="0"/>
          <w:bCs w:val="0"/>
          <w:lang w:val="en-GB"/>
        </w:rPr>
        <w:t>in</w:t>
      </w:r>
      <w:r>
        <w:rPr>
          <w:lang w:val="en-GB"/>
        </w:rPr>
        <w:t xml:space="preserve"> </w:t>
      </w:r>
      <w:r>
        <w:rPr>
          <w:rStyle w:val="titre1"/>
          <w:b w:val="0"/>
          <w:bCs w:val="0"/>
          <w:lang w:val="en-GB"/>
        </w:rPr>
        <w:t>Sophia-Antipolis (French Silicon Valley, in-between Cannes and Nice)</w:t>
      </w:r>
    </w:p>
    <w:p w:rsidR="00000000" w:rsidRDefault="00B05230">
      <w:pPr>
        <w:pStyle w:val="Corpsdetexte"/>
        <w:rPr>
          <w:rStyle w:val="titre1"/>
          <w:b w:val="0"/>
          <w:bCs w:val="0"/>
          <w:lang w:val="en-GB"/>
        </w:rPr>
      </w:pPr>
      <w:r>
        <w:rPr>
          <w:rStyle w:val="titre1"/>
          <w:b w:val="0"/>
          <w:bCs w:val="0"/>
          <w:lang w:val="en-GB"/>
        </w:rPr>
        <w:t>DeViNT is a F</w:t>
      </w:r>
      <w:r>
        <w:rPr>
          <w:rStyle w:val="titre1"/>
          <w:b w:val="0"/>
          <w:bCs w:val="0"/>
          <w:lang w:val="en-GB"/>
        </w:rPr>
        <w:t>rench acronym which means « New Technologies for Visually Impaired ». The language is French, with some English speakers with real time translation.</w:t>
      </w:r>
    </w:p>
    <w:p w:rsidR="00000000" w:rsidRDefault="00B05230">
      <w:pPr>
        <w:pStyle w:val="Corpsdetexte"/>
        <w:spacing w:before="120"/>
        <w:rPr>
          <w:rStyle w:val="titre1"/>
          <w:b w:val="0"/>
          <w:bCs w:val="0"/>
          <w:lang w:val="en-GB"/>
        </w:rPr>
      </w:pPr>
      <w:r>
        <w:rPr>
          <w:rStyle w:val="titre1"/>
          <w:b w:val="0"/>
          <w:bCs w:val="0"/>
          <w:lang w:val="en-GB"/>
        </w:rPr>
        <w:t>The preliminary programme can be found on :</w:t>
      </w:r>
    </w:p>
    <w:p w:rsidR="00000000" w:rsidRDefault="00B05230">
      <w:pPr>
        <w:pStyle w:val="Corpsdetexte"/>
        <w:spacing w:before="120"/>
        <w:rPr>
          <w:rStyle w:val="titre1"/>
          <w:b w:val="0"/>
          <w:bCs w:val="0"/>
          <w:lang w:val="en-GB"/>
        </w:rPr>
      </w:pPr>
      <w:hyperlink r:id="rId7" w:history="1">
        <w:r>
          <w:rPr>
            <w:rStyle w:val="Lienhypertexte"/>
            <w:lang w:val="en-GB"/>
          </w:rPr>
          <w:t>http</w:t>
        </w:r>
        <w:r>
          <w:rPr>
            <w:rStyle w:val="Lienhypertexte"/>
            <w:lang w:val="en-GB"/>
          </w:rPr>
          <w:t>://devint.polytech.unice.fr/index.html</w:t>
        </w:r>
      </w:hyperlink>
    </w:p>
    <w:p w:rsidR="00000000" w:rsidRDefault="00B05230">
      <w:pPr>
        <w:pStyle w:val="Corpsdetexte"/>
        <w:spacing w:before="120"/>
        <w:rPr>
          <w:rStyle w:val="titre1"/>
          <w:b w:val="0"/>
          <w:bCs w:val="0"/>
        </w:rPr>
      </w:pPr>
    </w:p>
    <w:p w:rsidR="00000000" w:rsidRDefault="00B05230">
      <w:pPr>
        <w:pStyle w:val="Corpsdetexte"/>
        <w:spacing w:before="120"/>
        <w:rPr>
          <w:rStyle w:val="titre1"/>
          <w:b w:val="0"/>
          <w:bCs w:val="0"/>
          <w:lang w:val="en-GB"/>
        </w:rPr>
      </w:pPr>
      <w:r>
        <w:rPr>
          <w:rStyle w:val="titre1"/>
          <w:b w:val="0"/>
          <w:bCs w:val="0"/>
          <w:lang w:val="en-GB"/>
        </w:rPr>
        <w:t>Detailed programme and English translation will be provided soon.</w:t>
      </w:r>
    </w:p>
    <w:p w:rsidR="00000000" w:rsidRDefault="00B05230">
      <w:pPr>
        <w:rPr>
          <w:lang w:val="en-GB"/>
        </w:rPr>
      </w:pPr>
    </w:p>
    <w:p w:rsidR="00000000" w:rsidRDefault="00B05230">
      <w:pPr>
        <w:rPr>
          <w:lang w:val="en-GB"/>
        </w:rPr>
      </w:pPr>
    </w:p>
    <w:p w:rsidR="00000000" w:rsidRDefault="00B05230">
      <w:pPr>
        <w:rPr>
          <w:lang w:val="en-GB"/>
        </w:rPr>
      </w:pPr>
    </w:p>
    <w:p w:rsidR="00000000" w:rsidRDefault="00B05230">
      <w:pPr>
        <w:rPr>
          <w:lang w:val="en-GB"/>
        </w:rPr>
      </w:pPr>
    </w:p>
    <w:p w:rsidR="00000000" w:rsidRDefault="00B05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bdr w:val="single" w:sz="4" w:space="0" w:color="auto"/>
          <w:lang w:val="en-GB"/>
        </w:rPr>
      </w:pPr>
      <w:r>
        <w:rPr>
          <w:lang w:val="en-GB"/>
        </w:rPr>
        <w:br w:type="page"/>
      </w:r>
      <w:r>
        <w:rPr>
          <w:b/>
          <w:bCs/>
          <w:lang w:val="en-GB"/>
        </w:rPr>
        <w:lastRenderedPageBreak/>
        <w:t>28 – Information BBS April 2011. Summary by F.Lestel of articles from Internet</w:t>
      </w:r>
    </w:p>
    <w:p w:rsidR="00000000" w:rsidRDefault="00B05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>
        <w:rPr>
          <w:i/>
          <w:iCs/>
          <w:lang w:val="en-GB"/>
        </w:rPr>
        <w:t>As usual, accuracy of translations is not guarranted.</w:t>
      </w:r>
      <w:r>
        <w:rPr>
          <w:i/>
          <w:iCs/>
          <w:bdr w:val="single" w:sz="4" w:space="0" w:color="auto"/>
          <w:lang w:val="en-GB"/>
        </w:rPr>
        <w:t xml:space="preserve"> </w:t>
      </w:r>
    </w:p>
    <w:p w:rsidR="00000000" w:rsidRDefault="00B05230">
      <w:pPr>
        <w:rPr>
          <w:lang w:val="en-GB"/>
        </w:rPr>
      </w:pPr>
    </w:p>
    <w:p w:rsidR="00000000" w:rsidRDefault="00B05230">
      <w:pPr>
        <w:rPr>
          <w:b/>
          <w:bCs/>
        </w:rPr>
      </w:pPr>
      <w:r>
        <w:rPr>
          <w:b/>
          <w:bCs/>
        </w:rPr>
        <w:t>1) Locus-</w:t>
      </w:r>
      <w:r>
        <w:rPr>
          <w:b/>
          <w:bCs/>
        </w:rPr>
        <w:t>Reference-Genomic</w:t>
      </w:r>
    </w:p>
    <w:p w:rsidR="00000000" w:rsidRDefault="00B05230">
      <w:r>
        <w:br/>
        <w:t>à traduire.</w:t>
      </w:r>
    </w:p>
    <w:p w:rsidR="00000000" w:rsidRDefault="00B05230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000000" w:rsidRDefault="00B05230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000000" w:rsidRDefault="00B05230">
      <w:pPr>
        <w:rPr>
          <w:b/>
          <w:bCs/>
        </w:rPr>
      </w:pPr>
      <w:r>
        <w:rPr>
          <w:b/>
          <w:bCs/>
        </w:rPr>
        <w:t>2) EURO-WABB</w:t>
      </w:r>
      <w:r>
        <w:rPr>
          <w:b/>
          <w:bCs/>
        </w:rPr>
        <w:br/>
      </w:r>
    </w:p>
    <w:p w:rsidR="00000000" w:rsidRDefault="00B05230">
      <w:pPr>
        <w:pStyle w:val="NormalWeb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sz w:val="20"/>
          <w:lang w:val="en-GB"/>
        </w:rPr>
        <w:t>The</w:t>
      </w:r>
      <w:r>
        <w:rPr>
          <w:rFonts w:ascii="Times New Roman" w:hAnsi="Times New Roman" w:cs="Times New Roman"/>
          <w:lang w:val="en-GB"/>
        </w:rPr>
        <w:t xml:space="preserve"> project </w:t>
      </w:r>
      <w:hyperlink r:id="rId8" w:history="1">
        <w:r>
          <w:rPr>
            <w:rStyle w:val="Lienhypertexte"/>
            <w:rFonts w:ascii="Times New Roman" w:hAnsi="Times New Roman" w:cs="Times New Roman"/>
            <w:lang w:val="en-GB"/>
          </w:rPr>
          <w:t>EU</w:t>
        </w:r>
        <w:r>
          <w:rPr>
            <w:rStyle w:val="Lienhypertexte"/>
            <w:rFonts w:ascii="Times New Roman" w:hAnsi="Times New Roman" w:cs="Times New Roman"/>
            <w:lang w:val="en-GB"/>
          </w:rPr>
          <w:t>R</w:t>
        </w:r>
        <w:r>
          <w:rPr>
            <w:rStyle w:val="Lienhypertexte"/>
            <w:rFonts w:ascii="Times New Roman" w:hAnsi="Times New Roman" w:cs="Times New Roman"/>
            <w:lang w:val="en-GB"/>
          </w:rPr>
          <w:t>O-WABB</w:t>
        </w:r>
      </w:hyperlink>
      <w:r>
        <w:rPr>
          <w:rFonts w:ascii="Times New Roman" w:hAnsi="Times New Roman" w:cs="Times New Roman"/>
          <w:lang w:val="en-GB"/>
        </w:rPr>
        <w:t>, is part of the European programme for Health 2008-2013 and which asks for   creation of new registries about rare diseases.</w:t>
      </w:r>
    </w:p>
    <w:p w:rsidR="00000000" w:rsidRDefault="00B05230">
      <w:pPr>
        <w:rPr>
          <w:lang w:val="en-GB"/>
        </w:rPr>
      </w:pPr>
    </w:p>
    <w:p w:rsidR="00000000" w:rsidRDefault="00B05230">
      <w:r>
        <w:t xml:space="preserve">Source : </w:t>
      </w:r>
      <w:hyperlink r:id="rId9" w:history="1">
        <w:r>
          <w:rPr>
            <w:rStyle w:val="Lienhypertexte"/>
          </w:rPr>
          <w:t>http://www.euro-rare-diabetes.org/project.jsp</w:t>
        </w:r>
      </w:hyperlink>
    </w:p>
    <w:p w:rsidR="00000000" w:rsidRDefault="00B05230"/>
    <w:p w:rsidR="00000000" w:rsidRDefault="00B05230"/>
    <w:p w:rsidR="00000000" w:rsidRDefault="00B05230"/>
    <w:p w:rsidR="00B05230" w:rsidRDefault="00B05230"/>
    <w:sectPr w:rsidR="00B05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noPunctuationKerning/>
  <w:characterSpacingControl w:val="doNotCompress"/>
  <w:compat/>
  <w:rsids>
    <w:rsidRoot w:val="00B164EE"/>
    <w:rsid w:val="00B05230"/>
    <w:rsid w:val="00B1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character" w:customStyle="1" w:styleId="titre1">
    <w:name w:val="titre1"/>
    <w:basedOn w:val="Policepardfaut"/>
  </w:style>
  <w:style w:type="paragraph" w:styleId="Corpsdetexte">
    <w:name w:val="Body Text"/>
    <w:basedOn w:val="Normal"/>
    <w:semiHidden/>
    <w:pPr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-wabb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vint.polytech.unice.fr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rg-sequence.org/page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vint.polytech.unice.fr/index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lrg-sequence.org/page.php" TargetMode="External"/><Relationship Id="rId9" Type="http://schemas.openxmlformats.org/officeDocument/2006/relationships/hyperlink" Target="http://www.eurordis.org/fr/content/un-nouveau-registre-sur-les-diabetes-rar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27 plan maladies rares, WABB</vt:lpstr>
    </vt:vector>
  </TitlesOfParts>
  <Company>SPACE</Company>
  <LinksUpToDate>false</LinksUpToDate>
  <CharactersWithSpaces>4223</CharactersWithSpaces>
  <SharedDoc>false</SharedDoc>
  <HLinks>
    <vt:vector size="36" baseType="variant">
      <vt:variant>
        <vt:i4>1572870</vt:i4>
      </vt:variant>
      <vt:variant>
        <vt:i4>15</vt:i4>
      </vt:variant>
      <vt:variant>
        <vt:i4>0</vt:i4>
      </vt:variant>
      <vt:variant>
        <vt:i4>5</vt:i4>
      </vt:variant>
      <vt:variant>
        <vt:lpwstr>http://www.eurordis.org/fr/content/un-nouveau-registre-sur-les-diabetes-rares</vt:lpwstr>
      </vt:variant>
      <vt:variant>
        <vt:lpwstr/>
      </vt:variant>
      <vt:variant>
        <vt:i4>1703939</vt:i4>
      </vt:variant>
      <vt:variant>
        <vt:i4>12</vt:i4>
      </vt:variant>
      <vt:variant>
        <vt:i4>0</vt:i4>
      </vt:variant>
      <vt:variant>
        <vt:i4>5</vt:i4>
      </vt:variant>
      <vt:variant>
        <vt:lpwstr>http://www.euro-wabb.org/</vt:lpwstr>
      </vt:variant>
      <vt:variant>
        <vt:lpwstr/>
      </vt:variant>
      <vt:variant>
        <vt:i4>7274613</vt:i4>
      </vt:variant>
      <vt:variant>
        <vt:i4>9</vt:i4>
      </vt:variant>
      <vt:variant>
        <vt:i4>0</vt:i4>
      </vt:variant>
      <vt:variant>
        <vt:i4>5</vt:i4>
      </vt:variant>
      <vt:variant>
        <vt:lpwstr>http://devint.polytech.unice.fr/index.html</vt:lpwstr>
      </vt:variant>
      <vt:variant>
        <vt:lpwstr/>
      </vt:variant>
      <vt:variant>
        <vt:i4>5439565</vt:i4>
      </vt:variant>
      <vt:variant>
        <vt:i4>6</vt:i4>
      </vt:variant>
      <vt:variant>
        <vt:i4>0</vt:i4>
      </vt:variant>
      <vt:variant>
        <vt:i4>5</vt:i4>
      </vt:variant>
      <vt:variant>
        <vt:lpwstr>http://www.lrg-sequence.org/page.php</vt:lpwstr>
      </vt:variant>
      <vt:variant>
        <vt:lpwstr/>
      </vt:variant>
      <vt:variant>
        <vt:i4>7274613</vt:i4>
      </vt:variant>
      <vt:variant>
        <vt:i4>3</vt:i4>
      </vt:variant>
      <vt:variant>
        <vt:i4>0</vt:i4>
      </vt:variant>
      <vt:variant>
        <vt:i4>5</vt:i4>
      </vt:variant>
      <vt:variant>
        <vt:lpwstr>http://devint.polytech.unice.fr/index.html</vt:lpwstr>
      </vt:variant>
      <vt:variant>
        <vt:lpwstr/>
      </vt:variant>
      <vt:variant>
        <vt:i4>5439565</vt:i4>
      </vt:variant>
      <vt:variant>
        <vt:i4>0</vt:i4>
      </vt:variant>
      <vt:variant>
        <vt:i4>0</vt:i4>
      </vt:variant>
      <vt:variant>
        <vt:i4>5</vt:i4>
      </vt:variant>
      <vt:variant>
        <vt:lpwstr>http://www.lrg-sequence.org/page.php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plan maladies rares, WABB</dc:title>
  <dc:creator>Francis</dc:creator>
  <cp:lastModifiedBy>Véronique Heloir</cp:lastModifiedBy>
  <cp:revision>2</cp:revision>
  <dcterms:created xsi:type="dcterms:W3CDTF">2021-01-03T23:35:00Z</dcterms:created>
  <dcterms:modified xsi:type="dcterms:W3CDTF">2021-01-03T23:35:00Z</dcterms:modified>
</cp:coreProperties>
</file>