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12E" w:rsidRDefault="0098612E">
      <w:pPr>
        <w:pStyle w:val="Corpsdetexte"/>
      </w:pPr>
      <w:r>
        <w:t>12 – Diverses informations BBS Décembre 2009/ Miscellaneous information BBS December 2009</w:t>
      </w:r>
    </w:p>
    <w:p w:rsidR="0098612E" w:rsidRDefault="0098612E">
      <w:pPr>
        <w:rPr>
          <w:b/>
          <w:bCs/>
        </w:rPr>
      </w:pPr>
    </w:p>
    <w:p w:rsidR="0098612E" w:rsidRDefault="0098612E">
      <w:r>
        <w:rPr>
          <w:b/>
          <w:bCs/>
          <w:sz w:val="28"/>
        </w:rPr>
        <w:t>a) Le Syndrome de Joubert</w:t>
      </w:r>
      <w:r>
        <w:t xml:space="preserve"> est une ciliopathie (tout comme le BBS). Sa transmission était considérée comme autosomique récessive, mais des chercheurs (Coene et coll.) ont trouvé un cas de transmission liée à l’X, dans une mutation du gène OFD1, qui code une protéine importante pour la fonction ciliaire. Résumé en anglais :</w:t>
      </w:r>
    </w:p>
    <w:p w:rsidR="0098612E" w:rsidRDefault="0098612E">
      <w:pPr>
        <w:spacing w:line="360" w:lineRule="auto"/>
      </w:pPr>
      <w:hyperlink r:id="rId7" w:history="1">
        <w:r>
          <w:rPr>
            <w:rStyle w:val="Lienhypertexte"/>
          </w:rPr>
          <w:t>http://www.ncbi.nlm.nih.gov/pubmed/19800048?dopt=Abstract</w:t>
        </w:r>
      </w:hyperlink>
    </w:p>
    <w:p w:rsidR="0098612E" w:rsidRDefault="0098612E">
      <w:r>
        <w:t>Le BBS était aussi considéré comme à transmission autosomique récessive, mais ce schéma a aussi été remis en cause dans un certain pourcentage de cas.</w:t>
      </w:r>
    </w:p>
    <w:p w:rsidR="0098612E" w:rsidRDefault="0098612E"/>
    <w:p w:rsidR="0098612E" w:rsidRDefault="0098612E"/>
    <w:p w:rsidR="0098612E" w:rsidRDefault="0098612E">
      <w:pPr>
        <w:rPr>
          <w:lang w:val="en-GB"/>
        </w:rPr>
      </w:pPr>
      <w:r>
        <w:rPr>
          <w:b/>
          <w:bCs/>
          <w:sz w:val="28"/>
          <w:lang w:val="en-GB"/>
        </w:rPr>
        <w:t>a) Joubert Syndrome</w:t>
      </w:r>
      <w:r>
        <w:rPr>
          <w:lang w:val="en-GB"/>
        </w:rPr>
        <w:t xml:space="preserve"> is a ciliopathy, as BBS. </w:t>
      </w:r>
      <w:r>
        <w:t xml:space="preserve">Its was considered as an autosomal recessive inheritance pattern. </w:t>
      </w:r>
      <w:r>
        <w:rPr>
          <w:lang w:val="en-GB"/>
        </w:rPr>
        <w:t>Coene et al. have found an X-linked recessive inheritance pattern :</w:t>
      </w:r>
      <w:r>
        <w:rPr>
          <w:rFonts w:ascii="Helvetica" w:hAnsi="Helvetica"/>
          <w:sz w:val="18"/>
          <w:szCs w:val="18"/>
          <w:lang w:val="en-GB"/>
        </w:rPr>
        <w:t xml:space="preserve"> </w:t>
      </w:r>
      <w:hyperlink r:id="rId8" w:history="1">
        <w:r>
          <w:rPr>
            <w:rStyle w:val="Lienhypertexte"/>
            <w:lang w:val="en-GB"/>
          </w:rPr>
          <w:t>http://www.ncbi.nlm.nih.gov/pubmed/19800048?dopt=Abstract</w:t>
        </w:r>
      </w:hyperlink>
    </w:p>
    <w:p w:rsidR="0098612E" w:rsidRDefault="0098612E">
      <w:pPr>
        <w:spacing w:before="120" w:after="120"/>
        <w:rPr>
          <w:lang w:val="en-GB"/>
        </w:rPr>
      </w:pPr>
      <w:r>
        <w:rPr>
          <w:lang w:val="en-GB"/>
        </w:rPr>
        <w:t>It involves a mutation of OFD1 gene which codes a protein paramount to ciliary function.</w:t>
      </w:r>
    </w:p>
    <w:p w:rsidR="0098612E" w:rsidRDefault="0098612E">
      <w:pPr>
        <w:spacing w:before="120" w:after="120"/>
        <w:rPr>
          <w:lang w:val="en-GB"/>
        </w:rPr>
      </w:pPr>
      <w:r>
        <w:rPr>
          <w:lang w:val="en-GB"/>
        </w:rPr>
        <w:t>BBS was also traditionally classified as autosomal recessive, but that scheme is being questioned in a certain percentage of cases.</w:t>
      </w:r>
    </w:p>
    <w:p w:rsidR="0098612E" w:rsidRDefault="0098612E">
      <w:pPr>
        <w:rPr>
          <w:lang w:val="en-GB"/>
        </w:rPr>
      </w:pPr>
    </w:p>
    <w:p w:rsidR="0098612E" w:rsidRDefault="0098612E">
      <w:pPr>
        <w:tabs>
          <w:tab w:val="left" w:pos="2880"/>
        </w:tabs>
        <w:rPr>
          <w:lang w:val="en-GB"/>
        </w:rPr>
      </w:pPr>
    </w:p>
    <w:p w:rsidR="0098612E" w:rsidRDefault="0098612E">
      <w:pPr>
        <w:rPr>
          <w:rFonts w:ascii="Helvetica" w:hAnsi="Helvetica"/>
          <w:i/>
          <w:iCs/>
          <w:sz w:val="27"/>
          <w:szCs w:val="27"/>
        </w:rPr>
      </w:pPr>
      <w:r>
        <w:rPr>
          <w:rFonts w:ascii="Helvetica" w:hAnsi="Helvetica"/>
          <w:b/>
          <w:bCs/>
          <w:i/>
          <w:iCs/>
          <w:sz w:val="27"/>
          <w:szCs w:val="27"/>
        </w:rPr>
        <w:t>b) Thérapie génique réussie chez des primates adultes</w:t>
      </w:r>
      <w:r>
        <w:rPr>
          <w:rFonts w:ascii="Helvetica" w:hAnsi="Helvetica"/>
          <w:i/>
          <w:iCs/>
          <w:sz w:val="27"/>
          <w:szCs w:val="27"/>
        </w:rPr>
        <w:t xml:space="preserve"> </w:t>
      </w:r>
    </w:p>
    <w:p w:rsidR="0098612E" w:rsidRDefault="0098612E">
      <w:pPr>
        <w:rPr>
          <w:rFonts w:ascii="Helvetica" w:hAnsi="Helvetica"/>
          <w:i/>
          <w:iCs/>
          <w:sz w:val="22"/>
        </w:rPr>
      </w:pPr>
      <w:r>
        <w:rPr>
          <w:rFonts w:ascii="Helvetica" w:hAnsi="Helvetica"/>
          <w:i/>
          <w:iCs/>
          <w:sz w:val="22"/>
        </w:rPr>
        <w:t>(in : Nature ; 461(7265):784-7 ; octobre 2009)</w:t>
      </w:r>
    </w:p>
    <w:p w:rsidR="0098612E" w:rsidRDefault="0098612E">
      <w:pPr>
        <w:rPr>
          <w:szCs w:val="18"/>
        </w:rPr>
      </w:pPr>
      <w:r>
        <w:rPr>
          <w:rFonts w:ascii="Helvetica" w:hAnsi="Helvetica"/>
          <w:sz w:val="22"/>
        </w:rPr>
        <w:br/>
      </w:r>
      <w:r>
        <w:rPr>
          <w:rStyle w:val="pix61"/>
          <w:sz w:val="22"/>
        </w:rPr>
        <w:t> </w:t>
      </w:r>
      <w:hyperlink r:id="rId9" w:tgtFrame="_blank" w:history="1">
        <w:r w:rsidRPr="006410DF">
          <w:rPr>
            <w:rStyle w:val="Lienhypertexte"/>
            <w:rFonts w:ascii="Arial" w:hAnsi="Arial" w:cs="Arial"/>
            <w:b/>
            <w:bCs/>
            <w:sz w:val="20"/>
            <w:szCs w:val="20"/>
          </w:rPr>
          <w:t>Mancuso et coll.</w:t>
        </w:r>
      </w:hyperlink>
      <w:r>
        <w:rPr>
          <w:szCs w:val="18"/>
        </w:rPr>
        <w:t xml:space="preserve"> montrent que l’injection sous rétinienne d’un virus contenant le gène manquant des photorécepteurs a permis de restaurer la vision trichromatique de singes écureuils adultes. Ils contredisent ainsi l’idée selon laquelle les maladies congénitales de la vision ne peuvent être soignées chez l’adulte. </w:t>
      </w:r>
    </w:p>
    <w:p w:rsidR="0098612E" w:rsidRDefault="0098612E">
      <w:pPr>
        <w:rPr>
          <w:szCs w:val="18"/>
        </w:rPr>
      </w:pPr>
    </w:p>
    <w:p w:rsidR="0098612E" w:rsidRDefault="0098612E">
      <w:pPr>
        <w:rPr>
          <w:rFonts w:ascii="Helvetica" w:hAnsi="Helvetica"/>
          <w:b/>
          <w:bCs/>
          <w:i/>
          <w:iCs/>
          <w:sz w:val="27"/>
          <w:szCs w:val="27"/>
        </w:rPr>
      </w:pPr>
      <w:r>
        <w:rPr>
          <w:rFonts w:ascii="Helvetica" w:hAnsi="Helvetica"/>
          <w:b/>
          <w:bCs/>
          <w:i/>
          <w:iCs/>
          <w:sz w:val="27"/>
          <w:szCs w:val="27"/>
        </w:rPr>
        <w:t>b) Gene therapy for red-green colour blindness in adult primates.</w:t>
      </w:r>
    </w:p>
    <w:p w:rsidR="0098612E" w:rsidRDefault="0098612E">
      <w:pPr>
        <w:pStyle w:val="authlist"/>
        <w:shd w:val="clear" w:color="auto" w:fill="FFFFFF"/>
        <w:spacing w:before="0" w:beforeAutospacing="0" w:after="0" w:afterAutospacing="0" w:line="432" w:lineRule="atLeast"/>
        <w:ind w:right="-480"/>
        <w:rPr>
          <w:rFonts w:ascii="Helvetica" w:hAnsi="Helvetica"/>
          <w:sz w:val="18"/>
          <w:szCs w:val="18"/>
          <w:lang w:val="en-GB"/>
        </w:rPr>
      </w:pPr>
      <w:hyperlink r:id="rId10" w:history="1">
        <w:r>
          <w:rPr>
            <w:rStyle w:val="Lienhypertexte"/>
            <w:rFonts w:ascii="Helvetica" w:hAnsi="Helvetica"/>
            <w:sz w:val="18"/>
            <w:szCs w:val="18"/>
            <w:lang w:val="en-GB"/>
          </w:rPr>
          <w:t>Mancuso K</w:t>
        </w:r>
      </w:hyperlink>
      <w:r>
        <w:rPr>
          <w:rFonts w:ascii="Helvetica" w:hAnsi="Helvetica"/>
          <w:sz w:val="18"/>
          <w:szCs w:val="18"/>
          <w:lang w:val="en-GB"/>
        </w:rPr>
        <w:t xml:space="preserve">, </w:t>
      </w:r>
      <w:hyperlink r:id="rId11" w:history="1">
        <w:r>
          <w:rPr>
            <w:rStyle w:val="Lienhypertexte"/>
            <w:rFonts w:ascii="Helvetica" w:hAnsi="Helvetica"/>
            <w:sz w:val="18"/>
            <w:szCs w:val="18"/>
            <w:lang w:val="en-GB"/>
          </w:rPr>
          <w:t>Hauswirth WW</w:t>
        </w:r>
      </w:hyperlink>
      <w:r>
        <w:rPr>
          <w:rFonts w:ascii="Helvetica" w:hAnsi="Helvetica"/>
          <w:sz w:val="18"/>
          <w:szCs w:val="18"/>
          <w:lang w:val="en-GB"/>
        </w:rPr>
        <w:t xml:space="preserve">, </w:t>
      </w:r>
      <w:hyperlink r:id="rId12" w:history="1">
        <w:r>
          <w:rPr>
            <w:rStyle w:val="Lienhypertexte"/>
            <w:rFonts w:ascii="Helvetica" w:hAnsi="Helvetica"/>
            <w:sz w:val="18"/>
            <w:szCs w:val="18"/>
            <w:lang w:val="en-GB"/>
          </w:rPr>
          <w:t>Li Q</w:t>
        </w:r>
      </w:hyperlink>
      <w:r>
        <w:rPr>
          <w:rFonts w:ascii="Helvetica" w:hAnsi="Helvetica"/>
          <w:sz w:val="18"/>
          <w:szCs w:val="18"/>
          <w:lang w:val="en-GB"/>
        </w:rPr>
        <w:t xml:space="preserve">, </w:t>
      </w:r>
      <w:hyperlink r:id="rId13" w:history="1">
        <w:r>
          <w:rPr>
            <w:rStyle w:val="Lienhypertexte"/>
            <w:rFonts w:ascii="Helvetica" w:hAnsi="Helvetica"/>
            <w:sz w:val="18"/>
            <w:szCs w:val="18"/>
            <w:lang w:val="en-GB"/>
          </w:rPr>
          <w:t>Connor TB</w:t>
        </w:r>
      </w:hyperlink>
      <w:r>
        <w:rPr>
          <w:rFonts w:ascii="Helvetica" w:hAnsi="Helvetica"/>
          <w:sz w:val="18"/>
          <w:szCs w:val="18"/>
          <w:lang w:val="en-GB"/>
        </w:rPr>
        <w:t xml:space="preserve">, </w:t>
      </w:r>
      <w:hyperlink r:id="rId14" w:history="1">
        <w:r>
          <w:rPr>
            <w:rStyle w:val="Lienhypertexte"/>
            <w:rFonts w:ascii="Helvetica" w:hAnsi="Helvetica"/>
            <w:sz w:val="18"/>
            <w:szCs w:val="18"/>
            <w:lang w:val="en-GB"/>
          </w:rPr>
          <w:t>Kuchenbecker JA</w:t>
        </w:r>
      </w:hyperlink>
      <w:r>
        <w:rPr>
          <w:rFonts w:ascii="Helvetica" w:hAnsi="Helvetica"/>
          <w:sz w:val="18"/>
          <w:szCs w:val="18"/>
          <w:lang w:val="en-GB"/>
        </w:rPr>
        <w:t xml:space="preserve">, </w:t>
      </w:r>
      <w:hyperlink r:id="rId15" w:history="1">
        <w:r>
          <w:rPr>
            <w:rStyle w:val="Lienhypertexte"/>
            <w:rFonts w:ascii="Helvetica" w:hAnsi="Helvetica"/>
            <w:sz w:val="18"/>
            <w:szCs w:val="18"/>
            <w:lang w:val="en-GB"/>
          </w:rPr>
          <w:t>Mauck MC</w:t>
        </w:r>
      </w:hyperlink>
      <w:r>
        <w:rPr>
          <w:rFonts w:ascii="Helvetica" w:hAnsi="Helvetica"/>
          <w:sz w:val="18"/>
          <w:szCs w:val="18"/>
          <w:lang w:val="en-GB"/>
        </w:rPr>
        <w:t xml:space="preserve">, </w:t>
      </w:r>
      <w:hyperlink r:id="rId16" w:history="1">
        <w:r>
          <w:rPr>
            <w:rStyle w:val="Lienhypertexte"/>
            <w:rFonts w:ascii="Helvetica" w:hAnsi="Helvetica"/>
            <w:sz w:val="18"/>
            <w:szCs w:val="18"/>
            <w:lang w:val="en-GB"/>
          </w:rPr>
          <w:t>Neitz J</w:t>
        </w:r>
      </w:hyperlink>
      <w:r>
        <w:rPr>
          <w:rFonts w:ascii="Helvetica" w:hAnsi="Helvetica"/>
          <w:sz w:val="18"/>
          <w:szCs w:val="18"/>
          <w:lang w:val="en-GB"/>
        </w:rPr>
        <w:t xml:space="preserve">, </w:t>
      </w:r>
      <w:hyperlink r:id="rId17" w:history="1">
        <w:r>
          <w:rPr>
            <w:rStyle w:val="Lienhypertexte"/>
            <w:rFonts w:ascii="Helvetica" w:hAnsi="Helvetica"/>
            <w:sz w:val="18"/>
            <w:szCs w:val="18"/>
            <w:lang w:val="en-GB"/>
          </w:rPr>
          <w:t>Neitz M</w:t>
        </w:r>
      </w:hyperlink>
      <w:r>
        <w:rPr>
          <w:rFonts w:ascii="Helvetica" w:hAnsi="Helvetica"/>
          <w:sz w:val="18"/>
          <w:szCs w:val="18"/>
          <w:lang w:val="en-GB"/>
        </w:rPr>
        <w:t>.</w:t>
      </w:r>
    </w:p>
    <w:p w:rsidR="0098612E" w:rsidRDefault="0098612E">
      <w:pPr>
        <w:pStyle w:val="aff"/>
        <w:shd w:val="clear" w:color="auto" w:fill="FFFFFF"/>
        <w:spacing w:before="0" w:beforeAutospacing="0" w:after="0" w:afterAutospacing="0"/>
        <w:rPr>
          <w:rFonts w:ascii="Helvetica" w:hAnsi="Helvetica"/>
          <w:sz w:val="18"/>
          <w:szCs w:val="18"/>
          <w:lang w:val="en-GB"/>
        </w:rPr>
      </w:pPr>
      <w:r>
        <w:rPr>
          <w:rFonts w:ascii="Helvetica" w:hAnsi="Helvetica"/>
          <w:sz w:val="18"/>
          <w:szCs w:val="18"/>
          <w:lang w:val="en-GB"/>
        </w:rPr>
        <w:t>Department of Ophthalmology, Box 356485, University of Washington, 1959 North East Pacific Street, Seattle, Washington 98195, USA.</w:t>
      </w:r>
    </w:p>
    <w:p w:rsidR="0098612E" w:rsidRDefault="0098612E">
      <w:pPr>
        <w:pStyle w:val="NormalWeb"/>
        <w:shd w:val="clear" w:color="auto" w:fill="FFFFFF"/>
        <w:spacing w:before="0" w:beforeAutospacing="0" w:after="0" w:afterAutospacing="0" w:line="432" w:lineRule="atLeast"/>
        <w:ind w:right="-480"/>
        <w:rPr>
          <w:lang w:val="en-GB"/>
        </w:rPr>
      </w:pPr>
      <w:r>
        <w:rPr>
          <w:rFonts w:ascii="Helvetica" w:hAnsi="Helvetica"/>
          <w:sz w:val="18"/>
          <w:szCs w:val="18"/>
          <w:lang w:val="en-GB"/>
        </w:rPr>
        <w:t>Comment in</w:t>
      </w:r>
      <w:r>
        <w:rPr>
          <w:lang w:val="en-GB"/>
        </w:rPr>
        <w:t xml:space="preserve">: </w:t>
      </w:r>
      <w:hyperlink r:id="rId18" w:history="1">
        <w:r>
          <w:rPr>
            <w:rStyle w:val="Lienhypertexte"/>
            <w:rFonts w:ascii="Helvetica" w:hAnsi="Helvetica"/>
            <w:sz w:val="18"/>
            <w:szCs w:val="18"/>
            <w:lang w:val="en-GB"/>
          </w:rPr>
          <w:t xml:space="preserve">Nature. 2009 Oct 8;461(7265):737-9. </w:t>
        </w:r>
      </w:hyperlink>
    </w:p>
    <w:p w:rsidR="0098612E" w:rsidRDefault="0098612E">
      <w:pPr>
        <w:pStyle w:val="NormalWeb"/>
        <w:shd w:val="clear" w:color="auto" w:fill="FFFFFF"/>
        <w:spacing w:before="264" w:beforeAutospacing="0" w:after="288" w:afterAutospacing="0" w:line="360" w:lineRule="auto"/>
        <w:ind w:right="-482"/>
        <w:rPr>
          <w:rFonts w:ascii="Helvetica" w:hAnsi="Helvetica"/>
          <w:sz w:val="18"/>
          <w:szCs w:val="18"/>
          <w:lang w:val="en-GB"/>
        </w:rPr>
      </w:pPr>
      <w:r>
        <w:rPr>
          <w:rFonts w:ascii="Helvetica" w:hAnsi="Helvetica"/>
          <w:sz w:val="18"/>
          <w:szCs w:val="18"/>
          <w:lang w:val="en-GB"/>
        </w:rPr>
        <w:t>Red-green colour blindness, which results from the absence of either the long- (L) or the middle- (M) wavelength-sensitive visual photopigments, is the most common single locus genetic disorder. Here we explore the possibility of curing colour blindness using gene therapy in experiments on adult monkeys that had been colour blind since birth. A third type of cone pigment was added to dichromatic retinas, providing the receptoral basis for trichromatic colour vision. This opened a new avenue to explore the requirements for establishing the neural circuits for a new dimension of colour sensation. Classic visual deprivation experiments have led to the expectation that neural connections established during development would not appropriately process an input that was not present from birth. Therefore, it was believed that the treatment of congenital vision disorders would be ineffective unless administered to the very young. However, here we show that the addition of a third opsin in adult red-green colour-deficient primates was sufficient to produce trichromatic colour vision behaviour. Thus, trichromacy can arise from a single addition of a third cone class and it does not require an early developmental process. This provides a positive outlook for the potential of gene therapy to cure adult vision disorders.</w:t>
      </w:r>
    </w:p>
    <w:p w:rsidR="0098612E" w:rsidRDefault="0098612E">
      <w:pPr>
        <w:pStyle w:val="NormalWeb"/>
        <w:shd w:val="clear" w:color="auto" w:fill="FFFFFF"/>
        <w:spacing w:before="264" w:beforeAutospacing="0" w:after="288" w:afterAutospacing="0" w:line="432" w:lineRule="atLeast"/>
        <w:ind w:right="-480"/>
        <w:rPr>
          <w:rFonts w:ascii="Helvetica" w:hAnsi="Helvetica"/>
          <w:sz w:val="18"/>
          <w:szCs w:val="18"/>
          <w:lang w:val="en-GB"/>
        </w:rPr>
      </w:pPr>
    </w:p>
    <w:p w:rsidR="0098612E" w:rsidRDefault="0098612E">
      <w:pPr>
        <w:rPr>
          <w:rStyle w:val="text1"/>
          <w:b/>
          <w:bCs/>
        </w:rPr>
      </w:pPr>
      <w:r>
        <w:rPr>
          <w:rFonts w:ascii="Helvetica" w:hAnsi="Helvetica"/>
          <w:b/>
          <w:bCs/>
          <w:sz w:val="27"/>
          <w:szCs w:val="27"/>
        </w:rPr>
        <w:t>c) Amaurose congénitale de Leber: succès d’un essai de thérapie génétique chez 12 patients</w:t>
      </w:r>
      <w:r>
        <w:rPr>
          <w:rFonts w:ascii="Helvetica" w:hAnsi="Helvetica"/>
          <w:b/>
          <w:bCs/>
          <w:i/>
          <w:iCs/>
          <w:sz w:val="27"/>
          <w:szCs w:val="27"/>
        </w:rPr>
        <w:br/>
      </w:r>
      <w:r>
        <w:rPr>
          <w:rStyle w:val="pix61"/>
          <w:b/>
          <w:bCs/>
        </w:rPr>
        <w:t> </w:t>
      </w:r>
    </w:p>
    <w:p w:rsidR="0098612E" w:rsidRDefault="0098612E">
      <w:pPr>
        <w:pStyle w:val="NormalWeb"/>
        <w:spacing w:before="0" w:beforeAutospacing="0" w:after="0" w:afterAutospacing="0"/>
        <w:jc w:val="both"/>
        <w:rPr>
          <w:rFonts w:ascii="Times New Roman" w:eastAsia="Times New Roman" w:hAnsi="Times New Roman" w:cs="Times New Roman"/>
          <w:szCs w:val="18"/>
        </w:rPr>
      </w:pPr>
      <w:r>
        <w:rPr>
          <w:rFonts w:ascii="Times New Roman" w:eastAsia="Times New Roman" w:hAnsi="Times New Roman" w:cs="Times New Roman"/>
          <w:szCs w:val="18"/>
        </w:rPr>
        <w:t>L’amaurose congénitale de Leber est une dystrophie et/ou une dysplasie rétinienne congénitale précoce. Elle constitue l’une des principales causes de cécité chez l’enfant puisqu’elle est retrouvée chez environ 10 à 20% des enfants aveugles. C’est une maladie héréditaire transmise sur le mode autosomique récessif chez la plupart des patients mais quelques cas d’hérédité autosomique dominante ont été rapportés</w:t>
      </w:r>
      <w:r>
        <w:rPr>
          <w:rFonts w:ascii="Arial" w:hAnsi="Arial" w:cs="Arial"/>
          <w:sz w:val="22"/>
          <w:szCs w:val="18"/>
        </w:rPr>
        <w:t xml:space="preserve">. </w:t>
      </w:r>
      <w:hyperlink r:id="rId19" w:tgtFrame="_blank" w:history="1">
        <w:r>
          <w:rPr>
            <w:rStyle w:val="Lienhypertexte"/>
            <w:rFonts w:ascii="Arial" w:hAnsi="Arial" w:cs="Arial"/>
            <w:b/>
            <w:bCs/>
            <w:sz w:val="22"/>
            <w:szCs w:val="17"/>
          </w:rPr>
          <w:t>Maguire et coll.</w:t>
        </w:r>
      </w:hyperlink>
      <w:r>
        <w:rPr>
          <w:rFonts w:ascii="Arial" w:hAnsi="Arial" w:cs="Arial"/>
          <w:sz w:val="22"/>
          <w:szCs w:val="18"/>
        </w:rPr>
        <w:t xml:space="preserve"> </w:t>
      </w:r>
      <w:r>
        <w:rPr>
          <w:rFonts w:ascii="Times New Roman" w:eastAsia="Times New Roman" w:hAnsi="Times New Roman" w:cs="Times New Roman"/>
          <w:szCs w:val="18"/>
        </w:rPr>
        <w:t>ont mené un essai de thérapie génique chez 12 patients dont la maladie est causée par des mutations du gène RPE65, qui code une protéine indispensable au bon fonctionnement des photorécepteurs de la rétine. Ils ont évalué, avec un suivi de deux ans, les améliorations subjectives et objectives de la vision induites par une injection, dans l’œil le plus atteint de chaque patient, d’un vecteur viral contenant le gène RPE65. Devant la sécurité, l’efficacité (particulièrement spectaculaire chez les enfants) et la stabilité du traitement, les auteurs proposent que la thérapie génique soit envisagée pour le traitement d’autres causes d’amaurose congénitale de Leber, ainsi que pour d’autres maladies génétiques de la rétine.</w:t>
      </w:r>
    </w:p>
    <w:p w:rsidR="0098612E" w:rsidRDefault="0098612E">
      <w:pPr>
        <w:pStyle w:val="NormalWeb"/>
        <w:spacing w:before="0" w:beforeAutospacing="0" w:after="0" w:afterAutospacing="0" w:line="360" w:lineRule="auto"/>
        <w:rPr>
          <w:rFonts w:ascii="Arial" w:hAnsi="Arial" w:cs="Arial"/>
          <w:sz w:val="22"/>
          <w:szCs w:val="18"/>
        </w:rPr>
      </w:pPr>
    </w:p>
    <w:p w:rsidR="0098612E" w:rsidRDefault="0098612E">
      <w:pPr>
        <w:pStyle w:val="NormalWeb"/>
        <w:shd w:val="clear" w:color="auto" w:fill="FFFFFF"/>
        <w:spacing w:before="0" w:beforeAutospacing="0" w:after="0" w:afterAutospacing="0" w:line="360" w:lineRule="auto"/>
        <w:rPr>
          <w:rFonts w:ascii="Helvetica" w:hAnsi="Helvetica"/>
          <w:sz w:val="18"/>
          <w:szCs w:val="18"/>
        </w:rPr>
      </w:pPr>
      <w:hyperlink r:id="rId20" w:history="1">
        <w:r>
          <w:rPr>
            <w:rStyle w:val="Lienhypertexte"/>
            <w:rFonts w:ascii="Helvetica" w:hAnsi="Helvetica"/>
            <w:sz w:val="18"/>
            <w:szCs w:val="18"/>
          </w:rPr>
          <w:t>http://www.ncbi.nlm.nih.gov/pubmed/19854499?dopt=Abstract</w:t>
        </w:r>
      </w:hyperlink>
    </w:p>
    <w:p w:rsidR="0098612E" w:rsidRDefault="0098612E">
      <w:pPr>
        <w:pStyle w:val="NormalWeb"/>
        <w:rPr>
          <w:rFonts w:ascii="Helvetica" w:hAnsi="Helvetica"/>
          <w:b/>
          <w:bCs/>
          <w:sz w:val="27"/>
          <w:szCs w:val="27"/>
          <w:lang w:val="en-GB"/>
        </w:rPr>
      </w:pPr>
      <w:r>
        <w:rPr>
          <w:rFonts w:ascii="Helvetica" w:hAnsi="Helvetica"/>
          <w:b/>
          <w:bCs/>
          <w:sz w:val="27"/>
          <w:szCs w:val="27"/>
          <w:lang w:val="en-GB"/>
        </w:rPr>
        <w:t>c) Age-dependent effects of RPE65 gene therapy for Leber's congenital amaurosis: a phase 1 dose-escalation trial.</w:t>
      </w:r>
    </w:p>
    <w:p w:rsidR="0098612E" w:rsidRDefault="0098612E">
      <w:pPr>
        <w:pStyle w:val="NormalWeb"/>
        <w:rPr>
          <w:rFonts w:ascii="Times New Roman" w:eastAsia="Times New Roman" w:hAnsi="Times New Roman" w:cs="Times New Roman"/>
          <w:szCs w:val="18"/>
          <w:lang w:val="en-GB"/>
        </w:rPr>
      </w:pPr>
      <w:r>
        <w:rPr>
          <w:rFonts w:ascii="Times New Roman" w:eastAsia="Times New Roman" w:hAnsi="Times New Roman" w:cs="Times New Roman"/>
          <w:szCs w:val="18"/>
          <w:lang w:val="en-GB"/>
        </w:rPr>
        <w:t>Summary in English, see link above.</w:t>
      </w:r>
    </w:p>
    <w:p w:rsidR="0098612E" w:rsidRDefault="0098612E">
      <w:pPr>
        <w:pStyle w:val="NormalWeb"/>
        <w:rPr>
          <w:rFonts w:ascii="Times New Roman" w:eastAsia="Times New Roman" w:hAnsi="Times New Roman" w:cs="Times New Roman"/>
          <w:szCs w:val="18"/>
          <w:lang w:val="en-GB"/>
        </w:rPr>
      </w:pPr>
    </w:p>
    <w:p w:rsidR="0098612E" w:rsidRDefault="0098612E">
      <w:pPr>
        <w:pStyle w:val="NormalWeb"/>
        <w:spacing w:before="0" w:beforeAutospacing="0" w:after="120" w:afterAutospacing="0"/>
        <w:rPr>
          <w:rFonts w:ascii="Helvetica" w:hAnsi="Helvetica"/>
          <w:b/>
          <w:bCs/>
          <w:sz w:val="27"/>
          <w:szCs w:val="27"/>
        </w:rPr>
      </w:pPr>
      <w:r>
        <w:rPr>
          <w:rFonts w:ascii="Helvetica" w:hAnsi="Helvetica"/>
          <w:b/>
          <w:bCs/>
          <w:sz w:val="27"/>
          <w:szCs w:val="27"/>
        </w:rPr>
        <w:t>d) Les cellules souches qui pourraient sauver la vue</w:t>
      </w:r>
    </w:p>
    <w:p w:rsidR="0098612E" w:rsidRDefault="0098612E">
      <w:pPr>
        <w:pStyle w:val="NormalWeb"/>
        <w:spacing w:before="0" w:beforeAutospacing="0" w:after="120" w:afterAutospacing="0"/>
        <w:rPr>
          <w:rFonts w:ascii="Times New Roman" w:eastAsia="Times New Roman" w:hAnsi="Times New Roman" w:cs="Times New Roman"/>
          <w:szCs w:val="18"/>
        </w:rPr>
      </w:pPr>
      <w:r>
        <w:rPr>
          <w:rFonts w:ascii="Times New Roman" w:eastAsia="Times New Roman" w:hAnsi="Times New Roman" w:cs="Times New Roman"/>
          <w:szCs w:val="18"/>
        </w:rPr>
        <w:t>Voici le lien vers l’article (en anglais) montrant les perspectives aux USA et au Royaume uni :</w:t>
      </w:r>
    </w:p>
    <w:p w:rsidR="0098612E" w:rsidRDefault="0098612E">
      <w:pPr>
        <w:pStyle w:val="NormalWeb"/>
        <w:spacing w:before="0" w:beforeAutospacing="0" w:after="120" w:afterAutospacing="0"/>
        <w:rPr>
          <w:rFonts w:ascii="Times New Roman" w:eastAsia="Times New Roman" w:hAnsi="Times New Roman" w:cs="Times New Roman"/>
          <w:szCs w:val="18"/>
        </w:rPr>
      </w:pPr>
      <w:hyperlink r:id="rId21" w:history="1">
        <w:r>
          <w:rPr>
            <w:rStyle w:val="Lienhypertexte"/>
            <w:szCs w:val="18"/>
          </w:rPr>
          <w:t>http://www.nature.com/stemcells/2009/0906/090611/full/stemcells.2009.82.html</w:t>
        </w:r>
      </w:hyperlink>
    </w:p>
    <w:p w:rsidR="0098612E" w:rsidRDefault="0098612E">
      <w:pPr>
        <w:pStyle w:val="NormalWeb"/>
        <w:spacing w:before="0" w:beforeAutospacing="0" w:after="120" w:afterAutospacing="0"/>
        <w:rPr>
          <w:rFonts w:ascii="Times New Roman" w:eastAsia="Times New Roman" w:hAnsi="Times New Roman" w:cs="Times New Roman"/>
          <w:szCs w:val="18"/>
        </w:rPr>
      </w:pPr>
      <w:r>
        <w:rPr>
          <w:rFonts w:ascii="Times New Roman" w:eastAsia="Times New Roman" w:hAnsi="Times New Roman" w:cs="Times New Roman"/>
          <w:szCs w:val="18"/>
        </w:rPr>
        <w:t xml:space="preserve"> L’œil ayant une frontière bien séparée avec le reste du corps serait un bon candidat pour les essais de thérapie à base de cellules souches. Des essais humains seraient programmés à partir de 2011.</w:t>
      </w:r>
    </w:p>
    <w:p w:rsidR="0098612E" w:rsidRDefault="0098612E">
      <w:pPr>
        <w:pStyle w:val="NormalWeb"/>
        <w:spacing w:before="0" w:beforeAutospacing="0" w:after="120" w:afterAutospacing="0"/>
        <w:rPr>
          <w:rFonts w:ascii="Times New Roman" w:eastAsia="Times New Roman" w:hAnsi="Times New Roman" w:cs="Times New Roman"/>
          <w:szCs w:val="18"/>
        </w:rPr>
      </w:pPr>
    </w:p>
    <w:p w:rsidR="0098612E" w:rsidRDefault="0098612E">
      <w:pPr>
        <w:pStyle w:val="NormalWeb"/>
        <w:spacing w:before="0" w:beforeAutospacing="0" w:after="120" w:afterAutospacing="0"/>
        <w:rPr>
          <w:rFonts w:ascii="Helvetica" w:hAnsi="Helvetica"/>
          <w:b/>
          <w:bCs/>
          <w:sz w:val="27"/>
          <w:szCs w:val="27"/>
        </w:rPr>
      </w:pPr>
      <w:r>
        <w:rPr>
          <w:rFonts w:ascii="Helvetica" w:hAnsi="Helvetica"/>
          <w:b/>
          <w:bCs/>
          <w:sz w:val="27"/>
          <w:szCs w:val="27"/>
        </w:rPr>
        <w:t>d) The cell that might save sight</w:t>
      </w:r>
    </w:p>
    <w:p w:rsidR="0098612E" w:rsidRDefault="0098612E">
      <w:pPr>
        <w:pStyle w:val="NormalWeb"/>
        <w:spacing w:before="0" w:beforeAutospacing="0" w:after="120" w:afterAutospacing="0"/>
        <w:rPr>
          <w:szCs w:val="18"/>
        </w:rPr>
      </w:pPr>
      <w:r>
        <w:rPr>
          <w:rFonts w:ascii="Times New Roman" w:eastAsia="Times New Roman" w:hAnsi="Times New Roman" w:cs="Times New Roman"/>
          <w:szCs w:val="18"/>
          <w:lang/>
        </w:rPr>
        <w:t>See :</w:t>
      </w:r>
      <w:r>
        <w:rPr>
          <w:rFonts w:ascii="Verdana" w:hAnsi="Verdana"/>
          <w:color w:val="000000"/>
          <w:lang/>
        </w:rPr>
        <w:t xml:space="preserve"> </w:t>
      </w:r>
      <w:hyperlink r:id="rId22" w:history="1">
        <w:r>
          <w:rPr>
            <w:rStyle w:val="Lienhypertexte"/>
            <w:szCs w:val="18"/>
            <w:lang/>
          </w:rPr>
          <w:t>http://www.nature.com/stemcells/2009/0906/090611/full/stemcells.2009.82.html</w:t>
        </w:r>
      </w:hyperlink>
    </w:p>
    <w:p w:rsidR="0098612E" w:rsidRPr="006410DF" w:rsidRDefault="0098612E" w:rsidP="006410DF">
      <w:pPr>
        <w:pStyle w:val="NormalWeb"/>
        <w:spacing w:before="0" w:beforeAutospacing="0" w:after="120" w:afterAutospacing="0"/>
        <w:rPr>
          <w:rFonts w:ascii="Times New Roman" w:eastAsia="Times New Roman" w:hAnsi="Times New Roman" w:cs="Times New Roman"/>
          <w:szCs w:val="18"/>
          <w:lang/>
        </w:rPr>
      </w:pPr>
      <w:r>
        <w:rPr>
          <w:rFonts w:ascii="Times New Roman" w:eastAsia="Times New Roman" w:hAnsi="Times New Roman" w:cs="Times New Roman"/>
          <w:szCs w:val="18"/>
          <w:lang/>
        </w:rPr>
        <w:t>Stem-cell therapy could start with the eyes, as it is sealed off from the immune system, shielded by the tightly linked epithelial cells of the blood–retina barrier. So even if the transplanted tissues are not an exact match for the patient, immunosuppressants might not be necessary to prevent rejection. But should anything go awry, doctors could remove the offending cells, or even take out the eye. Human trials from 2011 onwards.</w:t>
      </w:r>
    </w:p>
    <w:p w:rsidR="0098612E" w:rsidRPr="0098612E" w:rsidRDefault="0098612E" w:rsidP="0098612E">
      <w:pPr>
        <w:rPr>
          <w:rFonts w:ascii="Angsana New" w:hAnsi="Angsana New"/>
          <w:lang w:val="en-GB"/>
        </w:rPr>
      </w:pPr>
    </w:p>
    <w:sectPr w:rsidR="0098612E" w:rsidRPr="0098612E" w:rsidSect="006410DF">
      <w:footerReference w:type="default" r:id="rId23"/>
      <w:pgSz w:w="11906" w:h="16838"/>
      <w:pgMar w:top="1417" w:right="1286"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23BC" w:rsidRDefault="004323BC">
      <w:r>
        <w:separator/>
      </w:r>
    </w:p>
  </w:endnote>
  <w:endnote w:type="continuationSeparator" w:id="1">
    <w:p w:rsidR="004323BC" w:rsidRDefault="004323B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12E" w:rsidRDefault="0098612E">
    <w:pPr>
      <w:pStyle w:val="Pieddepage"/>
    </w:pPr>
    <w:r>
      <w:t xml:space="preserve">Page </w:t>
    </w:r>
    <w:r>
      <w:rPr>
        <w:rStyle w:val="Numrodepage"/>
      </w:rPr>
      <w:fldChar w:fldCharType="begin"/>
    </w:r>
    <w:r>
      <w:rPr>
        <w:rStyle w:val="Numrodepage"/>
      </w:rPr>
      <w:instrText xml:space="preserve"> PAGE </w:instrText>
    </w:r>
    <w:r>
      <w:rPr>
        <w:rStyle w:val="Numrodepage"/>
      </w:rPr>
      <w:fldChar w:fldCharType="separate"/>
    </w:r>
    <w:r w:rsidR="00A75032">
      <w:rPr>
        <w:rStyle w:val="Numrodepage"/>
        <w:noProof/>
      </w:rPr>
      <w:t>1</w:t>
    </w:r>
    <w:r>
      <w:rPr>
        <w:rStyle w:val="Numrodepage"/>
      </w:rPr>
      <w:fldChar w:fldCharType="end"/>
    </w:r>
    <w:r>
      <w:t xml:space="preserve"> sur </w:t>
    </w:r>
    <w:r>
      <w:rPr>
        <w:rStyle w:val="Numrodepage"/>
      </w:rPr>
      <w:fldChar w:fldCharType="begin"/>
    </w:r>
    <w:r>
      <w:rPr>
        <w:rStyle w:val="Numrodepage"/>
      </w:rPr>
      <w:instrText xml:space="preserve"> NUMPAGES </w:instrText>
    </w:r>
    <w:r>
      <w:rPr>
        <w:rStyle w:val="Numrodepage"/>
      </w:rPr>
      <w:fldChar w:fldCharType="separate"/>
    </w:r>
    <w:r w:rsidR="00A75032">
      <w:rPr>
        <w:rStyle w:val="Numrodepage"/>
        <w:noProof/>
      </w:rPr>
      <w:t>2</w:t>
    </w:r>
    <w:r>
      <w:rPr>
        <w:rStyle w:val="Numrodepage"/>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23BC" w:rsidRDefault="004323BC">
      <w:r>
        <w:separator/>
      </w:r>
    </w:p>
  </w:footnote>
  <w:footnote w:type="continuationSeparator" w:id="1">
    <w:p w:rsidR="004323BC" w:rsidRDefault="004323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427B0"/>
    <w:multiLevelType w:val="hybridMultilevel"/>
    <w:tmpl w:val="7CB0F19A"/>
    <w:lvl w:ilvl="0" w:tplc="040C0005">
      <w:start w:val="1"/>
      <w:numFmt w:val="bullet"/>
      <w:lvlText w:val=""/>
      <w:lvlJc w:val="left"/>
      <w:pPr>
        <w:tabs>
          <w:tab w:val="num" w:pos="780"/>
        </w:tabs>
        <w:ind w:left="780" w:hanging="360"/>
      </w:pPr>
      <w:rPr>
        <w:rFonts w:ascii="Wingdings" w:hAnsi="Wingdings" w:hint="default"/>
      </w:rPr>
    </w:lvl>
    <w:lvl w:ilvl="1" w:tplc="040C0003" w:tentative="1">
      <w:start w:val="1"/>
      <w:numFmt w:val="bullet"/>
      <w:lvlText w:val="o"/>
      <w:lvlJc w:val="left"/>
      <w:pPr>
        <w:tabs>
          <w:tab w:val="num" w:pos="1500"/>
        </w:tabs>
        <w:ind w:left="1500" w:hanging="360"/>
      </w:pPr>
      <w:rPr>
        <w:rFonts w:ascii="Courier New" w:hAnsi="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1">
    <w:nsid w:val="17426206"/>
    <w:multiLevelType w:val="hybridMultilevel"/>
    <w:tmpl w:val="81E801D4"/>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1C8E1B73"/>
    <w:multiLevelType w:val="hybridMultilevel"/>
    <w:tmpl w:val="6B7CDAA4"/>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244B0D02"/>
    <w:multiLevelType w:val="hybridMultilevel"/>
    <w:tmpl w:val="55807020"/>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2E595538"/>
    <w:multiLevelType w:val="hybridMultilevel"/>
    <w:tmpl w:val="1CC631AC"/>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2FC00B5C"/>
    <w:multiLevelType w:val="hybridMultilevel"/>
    <w:tmpl w:val="F5EAB178"/>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35274C0D"/>
    <w:multiLevelType w:val="hybridMultilevel"/>
    <w:tmpl w:val="92987280"/>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3A161F9B"/>
    <w:multiLevelType w:val="hybridMultilevel"/>
    <w:tmpl w:val="7B28333A"/>
    <w:lvl w:ilvl="0" w:tplc="040C0005">
      <w:start w:val="1"/>
      <w:numFmt w:val="bullet"/>
      <w:lvlText w:val=""/>
      <w:lvlJc w:val="left"/>
      <w:pPr>
        <w:tabs>
          <w:tab w:val="num" w:pos="780"/>
        </w:tabs>
        <w:ind w:left="780" w:hanging="360"/>
      </w:pPr>
      <w:rPr>
        <w:rFonts w:ascii="Wingdings" w:hAnsi="Wingdings" w:hint="default"/>
      </w:rPr>
    </w:lvl>
    <w:lvl w:ilvl="1" w:tplc="040C0003" w:tentative="1">
      <w:start w:val="1"/>
      <w:numFmt w:val="bullet"/>
      <w:lvlText w:val="o"/>
      <w:lvlJc w:val="left"/>
      <w:pPr>
        <w:tabs>
          <w:tab w:val="num" w:pos="1500"/>
        </w:tabs>
        <w:ind w:left="1500" w:hanging="360"/>
      </w:pPr>
      <w:rPr>
        <w:rFonts w:ascii="Courier New" w:hAnsi="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8">
    <w:nsid w:val="598515E8"/>
    <w:multiLevelType w:val="hybridMultilevel"/>
    <w:tmpl w:val="2C22887A"/>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5BF93875"/>
    <w:multiLevelType w:val="hybridMultilevel"/>
    <w:tmpl w:val="1C16DBD6"/>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67DB10B0"/>
    <w:multiLevelType w:val="hybridMultilevel"/>
    <w:tmpl w:val="BB183D1C"/>
    <w:lvl w:ilvl="0" w:tplc="CE4E2D74">
      <w:start w:val="1"/>
      <w:numFmt w:val="bullet"/>
      <w:lvlText w:val=""/>
      <w:lvlJc w:val="left"/>
      <w:pPr>
        <w:tabs>
          <w:tab w:val="num" w:pos="720"/>
        </w:tabs>
        <w:ind w:left="720" w:hanging="360"/>
      </w:pPr>
      <w:rPr>
        <w:rFonts w:ascii="Symbol" w:hAnsi="Symbol" w:hint="default"/>
        <w:sz w:val="20"/>
      </w:rPr>
    </w:lvl>
    <w:lvl w:ilvl="1" w:tplc="1EE490C8" w:tentative="1">
      <w:start w:val="1"/>
      <w:numFmt w:val="bullet"/>
      <w:lvlText w:val="o"/>
      <w:lvlJc w:val="left"/>
      <w:pPr>
        <w:tabs>
          <w:tab w:val="num" w:pos="1440"/>
        </w:tabs>
        <w:ind w:left="1440" w:hanging="360"/>
      </w:pPr>
      <w:rPr>
        <w:rFonts w:ascii="Courier New" w:hAnsi="Courier New" w:hint="default"/>
        <w:sz w:val="20"/>
      </w:rPr>
    </w:lvl>
    <w:lvl w:ilvl="2" w:tplc="B54A5520" w:tentative="1">
      <w:start w:val="1"/>
      <w:numFmt w:val="bullet"/>
      <w:lvlText w:val=""/>
      <w:lvlJc w:val="left"/>
      <w:pPr>
        <w:tabs>
          <w:tab w:val="num" w:pos="2160"/>
        </w:tabs>
        <w:ind w:left="2160" w:hanging="360"/>
      </w:pPr>
      <w:rPr>
        <w:rFonts w:ascii="Wingdings" w:hAnsi="Wingdings" w:hint="default"/>
        <w:sz w:val="20"/>
      </w:rPr>
    </w:lvl>
    <w:lvl w:ilvl="3" w:tplc="34702E74" w:tentative="1">
      <w:start w:val="1"/>
      <w:numFmt w:val="bullet"/>
      <w:lvlText w:val=""/>
      <w:lvlJc w:val="left"/>
      <w:pPr>
        <w:tabs>
          <w:tab w:val="num" w:pos="2880"/>
        </w:tabs>
        <w:ind w:left="2880" w:hanging="360"/>
      </w:pPr>
      <w:rPr>
        <w:rFonts w:ascii="Wingdings" w:hAnsi="Wingdings" w:hint="default"/>
        <w:sz w:val="20"/>
      </w:rPr>
    </w:lvl>
    <w:lvl w:ilvl="4" w:tplc="99168D32" w:tentative="1">
      <w:start w:val="1"/>
      <w:numFmt w:val="bullet"/>
      <w:lvlText w:val=""/>
      <w:lvlJc w:val="left"/>
      <w:pPr>
        <w:tabs>
          <w:tab w:val="num" w:pos="3600"/>
        </w:tabs>
        <w:ind w:left="3600" w:hanging="360"/>
      </w:pPr>
      <w:rPr>
        <w:rFonts w:ascii="Wingdings" w:hAnsi="Wingdings" w:hint="default"/>
        <w:sz w:val="20"/>
      </w:rPr>
    </w:lvl>
    <w:lvl w:ilvl="5" w:tplc="33EA09BE" w:tentative="1">
      <w:start w:val="1"/>
      <w:numFmt w:val="bullet"/>
      <w:lvlText w:val=""/>
      <w:lvlJc w:val="left"/>
      <w:pPr>
        <w:tabs>
          <w:tab w:val="num" w:pos="4320"/>
        </w:tabs>
        <w:ind w:left="4320" w:hanging="360"/>
      </w:pPr>
      <w:rPr>
        <w:rFonts w:ascii="Wingdings" w:hAnsi="Wingdings" w:hint="default"/>
        <w:sz w:val="20"/>
      </w:rPr>
    </w:lvl>
    <w:lvl w:ilvl="6" w:tplc="3500C448" w:tentative="1">
      <w:start w:val="1"/>
      <w:numFmt w:val="bullet"/>
      <w:lvlText w:val=""/>
      <w:lvlJc w:val="left"/>
      <w:pPr>
        <w:tabs>
          <w:tab w:val="num" w:pos="5040"/>
        </w:tabs>
        <w:ind w:left="5040" w:hanging="360"/>
      </w:pPr>
      <w:rPr>
        <w:rFonts w:ascii="Wingdings" w:hAnsi="Wingdings" w:hint="default"/>
        <w:sz w:val="20"/>
      </w:rPr>
    </w:lvl>
    <w:lvl w:ilvl="7" w:tplc="B78C2C96" w:tentative="1">
      <w:start w:val="1"/>
      <w:numFmt w:val="bullet"/>
      <w:lvlText w:val=""/>
      <w:lvlJc w:val="left"/>
      <w:pPr>
        <w:tabs>
          <w:tab w:val="num" w:pos="5760"/>
        </w:tabs>
        <w:ind w:left="5760" w:hanging="360"/>
      </w:pPr>
      <w:rPr>
        <w:rFonts w:ascii="Wingdings" w:hAnsi="Wingdings" w:hint="default"/>
        <w:sz w:val="20"/>
      </w:rPr>
    </w:lvl>
    <w:lvl w:ilvl="8" w:tplc="DC009F7C" w:tentative="1">
      <w:start w:val="1"/>
      <w:numFmt w:val="bullet"/>
      <w:lvlText w:val=""/>
      <w:lvlJc w:val="left"/>
      <w:pPr>
        <w:tabs>
          <w:tab w:val="num" w:pos="6480"/>
        </w:tabs>
        <w:ind w:left="6480" w:hanging="360"/>
      </w:pPr>
      <w:rPr>
        <w:rFonts w:ascii="Wingdings" w:hAnsi="Wingdings" w:hint="default"/>
        <w:sz w:val="20"/>
      </w:rPr>
    </w:lvl>
  </w:abstractNum>
  <w:abstractNum w:abstractNumId="11">
    <w:nsid w:val="70F53E76"/>
    <w:multiLevelType w:val="hybridMultilevel"/>
    <w:tmpl w:val="0150D392"/>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7722208C"/>
    <w:multiLevelType w:val="hybridMultilevel"/>
    <w:tmpl w:val="7FD808F4"/>
    <w:lvl w:ilvl="0" w:tplc="040C0005">
      <w:start w:val="1"/>
      <w:numFmt w:val="bullet"/>
      <w:lvlText w:val=""/>
      <w:lvlJc w:val="left"/>
      <w:pPr>
        <w:tabs>
          <w:tab w:val="num" w:pos="840"/>
        </w:tabs>
        <w:ind w:left="840" w:hanging="360"/>
      </w:pPr>
      <w:rPr>
        <w:rFonts w:ascii="Wingdings" w:hAnsi="Wingdings" w:hint="default"/>
      </w:rPr>
    </w:lvl>
    <w:lvl w:ilvl="1" w:tplc="040C0003" w:tentative="1">
      <w:start w:val="1"/>
      <w:numFmt w:val="bullet"/>
      <w:lvlText w:val="o"/>
      <w:lvlJc w:val="left"/>
      <w:pPr>
        <w:tabs>
          <w:tab w:val="num" w:pos="1560"/>
        </w:tabs>
        <w:ind w:left="1560" w:hanging="360"/>
      </w:pPr>
      <w:rPr>
        <w:rFonts w:ascii="Courier New" w:hAnsi="Courier New" w:hint="default"/>
      </w:rPr>
    </w:lvl>
    <w:lvl w:ilvl="2" w:tplc="040C0005" w:tentative="1">
      <w:start w:val="1"/>
      <w:numFmt w:val="bullet"/>
      <w:lvlText w:val=""/>
      <w:lvlJc w:val="left"/>
      <w:pPr>
        <w:tabs>
          <w:tab w:val="num" w:pos="2280"/>
        </w:tabs>
        <w:ind w:left="2280" w:hanging="360"/>
      </w:pPr>
      <w:rPr>
        <w:rFonts w:ascii="Wingdings" w:hAnsi="Wingdings" w:hint="default"/>
      </w:rPr>
    </w:lvl>
    <w:lvl w:ilvl="3" w:tplc="040C0001" w:tentative="1">
      <w:start w:val="1"/>
      <w:numFmt w:val="bullet"/>
      <w:lvlText w:val=""/>
      <w:lvlJc w:val="left"/>
      <w:pPr>
        <w:tabs>
          <w:tab w:val="num" w:pos="3000"/>
        </w:tabs>
        <w:ind w:left="3000" w:hanging="360"/>
      </w:pPr>
      <w:rPr>
        <w:rFonts w:ascii="Symbol" w:hAnsi="Symbol" w:hint="default"/>
      </w:rPr>
    </w:lvl>
    <w:lvl w:ilvl="4" w:tplc="040C0003" w:tentative="1">
      <w:start w:val="1"/>
      <w:numFmt w:val="bullet"/>
      <w:lvlText w:val="o"/>
      <w:lvlJc w:val="left"/>
      <w:pPr>
        <w:tabs>
          <w:tab w:val="num" w:pos="3720"/>
        </w:tabs>
        <w:ind w:left="3720" w:hanging="360"/>
      </w:pPr>
      <w:rPr>
        <w:rFonts w:ascii="Courier New" w:hAnsi="Courier New" w:hint="default"/>
      </w:rPr>
    </w:lvl>
    <w:lvl w:ilvl="5" w:tplc="040C0005" w:tentative="1">
      <w:start w:val="1"/>
      <w:numFmt w:val="bullet"/>
      <w:lvlText w:val=""/>
      <w:lvlJc w:val="left"/>
      <w:pPr>
        <w:tabs>
          <w:tab w:val="num" w:pos="4440"/>
        </w:tabs>
        <w:ind w:left="4440" w:hanging="360"/>
      </w:pPr>
      <w:rPr>
        <w:rFonts w:ascii="Wingdings" w:hAnsi="Wingdings" w:hint="default"/>
      </w:rPr>
    </w:lvl>
    <w:lvl w:ilvl="6" w:tplc="040C0001" w:tentative="1">
      <w:start w:val="1"/>
      <w:numFmt w:val="bullet"/>
      <w:lvlText w:val=""/>
      <w:lvlJc w:val="left"/>
      <w:pPr>
        <w:tabs>
          <w:tab w:val="num" w:pos="5160"/>
        </w:tabs>
        <w:ind w:left="5160" w:hanging="360"/>
      </w:pPr>
      <w:rPr>
        <w:rFonts w:ascii="Symbol" w:hAnsi="Symbol" w:hint="default"/>
      </w:rPr>
    </w:lvl>
    <w:lvl w:ilvl="7" w:tplc="040C0003" w:tentative="1">
      <w:start w:val="1"/>
      <w:numFmt w:val="bullet"/>
      <w:lvlText w:val="o"/>
      <w:lvlJc w:val="left"/>
      <w:pPr>
        <w:tabs>
          <w:tab w:val="num" w:pos="5880"/>
        </w:tabs>
        <w:ind w:left="5880" w:hanging="360"/>
      </w:pPr>
      <w:rPr>
        <w:rFonts w:ascii="Courier New" w:hAnsi="Courier New" w:hint="default"/>
      </w:rPr>
    </w:lvl>
    <w:lvl w:ilvl="8" w:tplc="040C0005" w:tentative="1">
      <w:start w:val="1"/>
      <w:numFmt w:val="bullet"/>
      <w:lvlText w:val=""/>
      <w:lvlJc w:val="left"/>
      <w:pPr>
        <w:tabs>
          <w:tab w:val="num" w:pos="6600"/>
        </w:tabs>
        <w:ind w:left="6600" w:hanging="360"/>
      </w:pPr>
      <w:rPr>
        <w:rFonts w:ascii="Wingdings" w:hAnsi="Wingdings" w:hint="default"/>
      </w:rPr>
    </w:lvl>
  </w:abstractNum>
  <w:abstractNum w:abstractNumId="13">
    <w:nsid w:val="7C307E96"/>
    <w:multiLevelType w:val="hybridMultilevel"/>
    <w:tmpl w:val="47109FD4"/>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2"/>
  </w:num>
  <w:num w:numId="3">
    <w:abstractNumId w:val="8"/>
  </w:num>
  <w:num w:numId="4">
    <w:abstractNumId w:val="3"/>
  </w:num>
  <w:num w:numId="5">
    <w:abstractNumId w:val="0"/>
  </w:num>
  <w:num w:numId="6">
    <w:abstractNumId w:val="4"/>
  </w:num>
  <w:num w:numId="7">
    <w:abstractNumId w:val="11"/>
  </w:num>
  <w:num w:numId="8">
    <w:abstractNumId w:val="2"/>
  </w:num>
  <w:num w:numId="9">
    <w:abstractNumId w:val="6"/>
  </w:num>
  <w:num w:numId="10">
    <w:abstractNumId w:val="13"/>
  </w:num>
  <w:num w:numId="11">
    <w:abstractNumId w:val="1"/>
  </w:num>
  <w:num w:numId="12">
    <w:abstractNumId w:val="5"/>
  </w:num>
  <w:num w:numId="13">
    <w:abstractNumId w:val="9"/>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noPunctuationKerning/>
  <w:characterSpacingControl w:val="doNotCompress"/>
  <w:footnotePr>
    <w:footnote w:id="0"/>
    <w:footnote w:id="1"/>
  </w:footnotePr>
  <w:endnotePr>
    <w:endnote w:id="0"/>
    <w:endnote w:id="1"/>
  </w:endnotePr>
  <w:compat/>
  <w:rsids>
    <w:rsidRoot w:val="006410DF"/>
    <w:rsid w:val="004323BC"/>
    <w:rsid w:val="006410DF"/>
    <w:rsid w:val="0098612E"/>
    <w:rsid w:val="00A7503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itre1">
    <w:name w:val="heading 1"/>
    <w:basedOn w:val="Normal"/>
    <w:next w:val="Normal"/>
    <w:qFormat/>
    <w:pPr>
      <w:keepNext/>
      <w:outlineLvl w:val="0"/>
    </w:pPr>
    <w:rPr>
      <w:b/>
      <w:bCs/>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Corpsdetexte">
    <w:name w:val="Body Text"/>
    <w:basedOn w:val="Normal"/>
    <w:rPr>
      <w:b/>
      <w:bCs/>
    </w:rPr>
  </w:style>
  <w:style w:type="paragraph" w:styleId="Retraitcorpsdetexte">
    <w:name w:val="Body Text Indent"/>
    <w:basedOn w:val="Normal"/>
    <w:pPr>
      <w:ind w:left="120"/>
    </w:p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character" w:styleId="Lienhypertexte">
    <w:name w:val="Hyperlink"/>
    <w:basedOn w:val="Policepardfaut"/>
    <w:rPr>
      <w:color w:val="0000FF"/>
      <w:u w:val="single"/>
    </w:rPr>
  </w:style>
  <w:style w:type="character" w:customStyle="1" w:styleId="titre10">
    <w:name w:val="titre1"/>
    <w:basedOn w:val="Policepardfaut"/>
    <w:rPr>
      <w:rFonts w:ascii="Arial" w:hAnsi="Arial" w:cs="Arial" w:hint="default"/>
      <w:b/>
      <w:bCs/>
      <w:i/>
      <w:iCs/>
      <w:color w:val="74375C"/>
      <w:spacing w:val="30"/>
      <w:sz w:val="18"/>
      <w:szCs w:val="18"/>
    </w:rPr>
  </w:style>
  <w:style w:type="character" w:customStyle="1" w:styleId="pix61">
    <w:name w:val="pix61"/>
    <w:basedOn w:val="Policepardfaut"/>
    <w:rPr>
      <w:rFonts w:ascii="Arial" w:hAnsi="Arial" w:cs="Arial" w:hint="default"/>
      <w:sz w:val="9"/>
      <w:szCs w:val="9"/>
    </w:rPr>
  </w:style>
  <w:style w:type="character" w:customStyle="1" w:styleId="text1">
    <w:name w:val="text1"/>
    <w:basedOn w:val="Policepardfaut"/>
    <w:rPr>
      <w:rFonts w:ascii="Arial" w:hAnsi="Arial" w:cs="Arial" w:hint="default"/>
      <w:sz w:val="18"/>
      <w:szCs w:val="18"/>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customStyle="1" w:styleId="pix11">
    <w:name w:val="pix11"/>
    <w:basedOn w:val="Policepardfaut"/>
    <w:rPr>
      <w:rFonts w:ascii="Arial" w:hAnsi="Arial" w:cs="Arial" w:hint="default"/>
      <w:sz w:val="2"/>
      <w:szCs w:val="2"/>
    </w:rPr>
  </w:style>
  <w:style w:type="character" w:customStyle="1" w:styleId="source1">
    <w:name w:val="source1"/>
    <w:basedOn w:val="Policepardfaut"/>
    <w:rPr>
      <w:rFonts w:ascii="Arial" w:hAnsi="Arial" w:cs="Arial" w:hint="default"/>
      <w:i/>
      <w:iCs/>
      <w:color w:val="74375C"/>
      <w:sz w:val="17"/>
      <w:szCs w:val="17"/>
    </w:rPr>
  </w:style>
  <w:style w:type="paragraph" w:customStyle="1" w:styleId="aff">
    <w:name w:val="aff"/>
    <w:basedOn w:val="Normal"/>
    <w:pPr>
      <w:spacing w:before="100" w:beforeAutospacing="1" w:after="100" w:afterAutospacing="1"/>
    </w:pPr>
    <w:rPr>
      <w:rFonts w:ascii="Arial Unicode MS" w:eastAsia="Arial Unicode MS" w:hAnsi="Arial Unicode MS" w:cs="Arial Unicode MS"/>
    </w:rPr>
  </w:style>
  <w:style w:type="paragraph" w:customStyle="1" w:styleId="authlist">
    <w:name w:val="auth_list"/>
    <w:basedOn w:val="Normal"/>
    <w:pPr>
      <w:spacing w:before="100" w:beforeAutospacing="1" w:after="100" w:afterAutospacing="1"/>
    </w:pPr>
    <w:rPr>
      <w:rFonts w:ascii="Arial Unicode MS" w:eastAsia="Arial Unicode MS" w:hAnsi="Arial Unicode MS" w:cs="Arial Unicode MS"/>
    </w:rPr>
  </w:style>
  <w:style w:type="character" w:styleId="lev">
    <w:name w:val="Strong"/>
    <w:basedOn w:val="Policepardfaut"/>
    <w:qFormat/>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19800048?dopt=Abstract" TargetMode="External"/><Relationship Id="rId13" Type="http://schemas.openxmlformats.org/officeDocument/2006/relationships/hyperlink" Target="http://www.ncbi.nlm.nih.gov/pubmed?term=%22Connor%20TB%22%5BAuthor%5D&amp;itool=EntrezSystem2.PEntrez.Pubmed.Pubmed_ResultsPanel.Pubmed_RVAbstract" TargetMode="External"/><Relationship Id="rId18" Type="http://schemas.openxmlformats.org/officeDocument/2006/relationships/hyperlink" Target="http://www.ncbi.nlm.nih.gov/pubmed/19812661?itool=EntrezSystem2.PEntrez.Pubmed.Pubmed_ResultsPanel.Pubmed_RVAbstract" TargetMode="External"/><Relationship Id="rId3" Type="http://schemas.openxmlformats.org/officeDocument/2006/relationships/settings" Target="settings.xml"/><Relationship Id="rId21" Type="http://schemas.openxmlformats.org/officeDocument/2006/relationships/hyperlink" Target="http://www.nature.com/stemcells/2009/0906/090611/full/stemcells.2009.82.html" TargetMode="External"/><Relationship Id="rId7" Type="http://schemas.openxmlformats.org/officeDocument/2006/relationships/hyperlink" Target="http://www.ncbi.nlm.nih.gov/pubmed/19800048?dopt=Abstract" TargetMode="External"/><Relationship Id="rId12" Type="http://schemas.openxmlformats.org/officeDocument/2006/relationships/hyperlink" Target="http://www.ncbi.nlm.nih.gov/pubmed?term=%22Li%20Q%22%5BAuthor%5D&amp;itool=EntrezSystem2.PEntrez.Pubmed.Pubmed_ResultsPanel.Pubmed_RVAbstract" TargetMode="External"/><Relationship Id="rId17" Type="http://schemas.openxmlformats.org/officeDocument/2006/relationships/hyperlink" Target="http://www.ncbi.nlm.nih.gov/pubmed?term=%22Neitz%20M%22%5BAuthor%5D&amp;itool=EntrezSystem2.PEntrez.Pubmed.Pubmed_ResultsPanel.Pubmed_RVAbstrac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ncbi.nlm.nih.gov/pubmed?term=%22Neitz%20J%22%5BAuthor%5D&amp;itool=EntrezSystem2.PEntrez.Pubmed.Pubmed_ResultsPanel.Pubmed_RVAbstract" TargetMode="External"/><Relationship Id="rId20" Type="http://schemas.openxmlformats.org/officeDocument/2006/relationships/hyperlink" Target="http://www.ncbi.nlm.nih.gov/pubmed/19854499?dopt=Abstrac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bi.nlm.nih.gov/pubmed?term=%22Hauswirth%20WW%22%5BAuthor%5D&amp;itool=EntrezSystem2.PEntrez.Pubmed.Pubmed_ResultsPanel.Pubmed_RVAbstract"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ncbi.nlm.nih.gov/pubmed?term=%22Mauck%20MC%22%5BAuthor%5D&amp;itool=EntrezSystem2.PEntrez.Pubmed.Pubmed_ResultsPanel.Pubmed_RVAbstract" TargetMode="External"/><Relationship Id="rId23" Type="http://schemas.openxmlformats.org/officeDocument/2006/relationships/footer" Target="footer1.xml"/><Relationship Id="rId10" Type="http://schemas.openxmlformats.org/officeDocument/2006/relationships/hyperlink" Target="http://www.ncbi.nlm.nih.gov/pubmed?term=%22Mancuso%20K%22%5BAuthor%5D&amp;itool=EntrezSystem2.PEntrez.Pubmed.Pubmed_ResultsPanel.Pubmed_RVAbstract" TargetMode="External"/><Relationship Id="rId19" Type="http://schemas.openxmlformats.org/officeDocument/2006/relationships/hyperlink" Target="http://www.ncbi.nlm.nih.gov/entrez/query.fcgi?cmd=Retrieve&amp;db=pubmed&amp;dopt=Abstract&amp;list_uids=19854499" TargetMode="External"/><Relationship Id="rId4" Type="http://schemas.openxmlformats.org/officeDocument/2006/relationships/webSettings" Target="webSettings.xml"/><Relationship Id="rId9" Type="http://schemas.openxmlformats.org/officeDocument/2006/relationships/hyperlink" Target="http://www.ncbi.nlm.nih.gov/entrez/query.fcgi?cmd=Retrieve&amp;db=pubmed&amp;dopt=Abstract&amp;list_uids=19759534" TargetMode="External"/><Relationship Id="rId14" Type="http://schemas.openxmlformats.org/officeDocument/2006/relationships/hyperlink" Target="http://www.ncbi.nlm.nih.gov/pubmed?term=%22Kuchenbecker%20JA%22%5BAuthor%5D&amp;itool=EntrezSystem2.PEntrez.Pubmed.Pubmed_ResultsPanel.Pubmed_RVAbstract" TargetMode="External"/><Relationship Id="rId22" Type="http://schemas.openxmlformats.org/officeDocument/2006/relationships/hyperlink" Target="http://www.nature.com/stemcells/2009/0906/090611/full/stemcells.2009.82.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1182</Words>
  <Characters>6504</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12 Divers</vt:lpstr>
    </vt:vector>
  </TitlesOfParts>
  <Company/>
  <LinksUpToDate>false</LinksUpToDate>
  <CharactersWithSpaces>7671</CharactersWithSpaces>
  <SharedDoc>false</SharedDoc>
  <HLinks>
    <vt:vector size="96" baseType="variant">
      <vt:variant>
        <vt:i4>1441809</vt:i4>
      </vt:variant>
      <vt:variant>
        <vt:i4>45</vt:i4>
      </vt:variant>
      <vt:variant>
        <vt:i4>0</vt:i4>
      </vt:variant>
      <vt:variant>
        <vt:i4>5</vt:i4>
      </vt:variant>
      <vt:variant>
        <vt:lpwstr>http://www.nature.com/stemcells/2009/0906/090611/full/stemcells.2009.82.html</vt:lpwstr>
      </vt:variant>
      <vt:variant>
        <vt:lpwstr/>
      </vt:variant>
      <vt:variant>
        <vt:i4>1441809</vt:i4>
      </vt:variant>
      <vt:variant>
        <vt:i4>42</vt:i4>
      </vt:variant>
      <vt:variant>
        <vt:i4>0</vt:i4>
      </vt:variant>
      <vt:variant>
        <vt:i4>5</vt:i4>
      </vt:variant>
      <vt:variant>
        <vt:lpwstr>http://www.nature.com/stemcells/2009/0906/090611/full/stemcells.2009.82.html</vt:lpwstr>
      </vt:variant>
      <vt:variant>
        <vt:lpwstr/>
      </vt:variant>
      <vt:variant>
        <vt:i4>1245257</vt:i4>
      </vt:variant>
      <vt:variant>
        <vt:i4>39</vt:i4>
      </vt:variant>
      <vt:variant>
        <vt:i4>0</vt:i4>
      </vt:variant>
      <vt:variant>
        <vt:i4>5</vt:i4>
      </vt:variant>
      <vt:variant>
        <vt:lpwstr>http://www.ncbi.nlm.nih.gov/pubmed/19854499?dopt=Abstract</vt:lpwstr>
      </vt:variant>
      <vt:variant>
        <vt:lpwstr/>
      </vt:variant>
      <vt:variant>
        <vt:i4>7274506</vt:i4>
      </vt:variant>
      <vt:variant>
        <vt:i4>36</vt:i4>
      </vt:variant>
      <vt:variant>
        <vt:i4>0</vt:i4>
      </vt:variant>
      <vt:variant>
        <vt:i4>5</vt:i4>
      </vt:variant>
      <vt:variant>
        <vt:lpwstr>http://www.ncbi.nlm.nih.gov/entrez/query.fcgi?cmd=Retrieve&amp;db=pubmed&amp;dopt=Abstract&amp;list_uids=19854499</vt:lpwstr>
      </vt:variant>
      <vt:variant>
        <vt:lpwstr/>
      </vt:variant>
      <vt:variant>
        <vt:i4>4784218</vt:i4>
      </vt:variant>
      <vt:variant>
        <vt:i4>33</vt:i4>
      </vt:variant>
      <vt:variant>
        <vt:i4>0</vt:i4>
      </vt:variant>
      <vt:variant>
        <vt:i4>5</vt:i4>
      </vt:variant>
      <vt:variant>
        <vt:lpwstr>http://www.ncbi.nlm.nih.gov/pubmed/19812661?itool=EntrezSystem2.PEntrez.Pubmed.Pubmed_ResultsPanel.Pubmed_RVAbstract</vt:lpwstr>
      </vt:variant>
      <vt:variant>
        <vt:lpwstr/>
      </vt:variant>
      <vt:variant>
        <vt:i4>5832775</vt:i4>
      </vt:variant>
      <vt:variant>
        <vt:i4>30</vt:i4>
      </vt:variant>
      <vt:variant>
        <vt:i4>0</vt:i4>
      </vt:variant>
      <vt:variant>
        <vt:i4>5</vt:i4>
      </vt:variant>
      <vt:variant>
        <vt:lpwstr>http://www.ncbi.nlm.nih.gov/pubmed?term=%22Neitz%20M%22%5BAuthor%5D&amp;itool=EntrezSystem2.PEntrez.Pubmed.Pubmed_ResultsPanel.Pubmed_RVAbstract</vt:lpwstr>
      </vt:variant>
      <vt:variant>
        <vt:lpwstr/>
      </vt:variant>
      <vt:variant>
        <vt:i4>6160455</vt:i4>
      </vt:variant>
      <vt:variant>
        <vt:i4>27</vt:i4>
      </vt:variant>
      <vt:variant>
        <vt:i4>0</vt:i4>
      </vt:variant>
      <vt:variant>
        <vt:i4>5</vt:i4>
      </vt:variant>
      <vt:variant>
        <vt:lpwstr>http://www.ncbi.nlm.nih.gov/pubmed?term=%22Neitz%20J%22%5BAuthor%5D&amp;itool=EntrezSystem2.PEntrez.Pubmed.Pubmed_ResultsPanel.Pubmed_RVAbstract</vt:lpwstr>
      </vt:variant>
      <vt:variant>
        <vt:lpwstr/>
      </vt:variant>
      <vt:variant>
        <vt:i4>5177435</vt:i4>
      </vt:variant>
      <vt:variant>
        <vt:i4>24</vt:i4>
      </vt:variant>
      <vt:variant>
        <vt:i4>0</vt:i4>
      </vt:variant>
      <vt:variant>
        <vt:i4>5</vt:i4>
      </vt:variant>
      <vt:variant>
        <vt:lpwstr>http://www.ncbi.nlm.nih.gov/pubmed?term=%22Mauck%20MC%22%5BAuthor%5D&amp;itool=EntrezSystem2.PEntrez.Pubmed.Pubmed_ResultsPanel.Pubmed_RVAbstract</vt:lpwstr>
      </vt:variant>
      <vt:variant>
        <vt:lpwstr/>
      </vt:variant>
      <vt:variant>
        <vt:i4>393236</vt:i4>
      </vt:variant>
      <vt:variant>
        <vt:i4>21</vt:i4>
      </vt:variant>
      <vt:variant>
        <vt:i4>0</vt:i4>
      </vt:variant>
      <vt:variant>
        <vt:i4>5</vt:i4>
      </vt:variant>
      <vt:variant>
        <vt:lpwstr>http://www.ncbi.nlm.nih.gov/pubmed?term=%22Kuchenbecker%20JA%22%5BAuthor%5D&amp;itool=EntrezSystem2.PEntrez.Pubmed.Pubmed_ResultsPanel.Pubmed_RVAbstract</vt:lpwstr>
      </vt:variant>
      <vt:variant>
        <vt:lpwstr/>
      </vt:variant>
      <vt:variant>
        <vt:i4>7209078</vt:i4>
      </vt:variant>
      <vt:variant>
        <vt:i4>18</vt:i4>
      </vt:variant>
      <vt:variant>
        <vt:i4>0</vt:i4>
      </vt:variant>
      <vt:variant>
        <vt:i4>5</vt:i4>
      </vt:variant>
      <vt:variant>
        <vt:lpwstr>http://www.ncbi.nlm.nih.gov/pubmed?term=%22Connor%20TB%22%5BAuthor%5D&amp;itool=EntrezSystem2.PEntrez.Pubmed.Pubmed_ResultsPanel.Pubmed_RVAbstract</vt:lpwstr>
      </vt:variant>
      <vt:variant>
        <vt:lpwstr/>
      </vt:variant>
      <vt:variant>
        <vt:i4>1703941</vt:i4>
      </vt:variant>
      <vt:variant>
        <vt:i4>15</vt:i4>
      </vt:variant>
      <vt:variant>
        <vt:i4>0</vt:i4>
      </vt:variant>
      <vt:variant>
        <vt:i4>5</vt:i4>
      </vt:variant>
      <vt:variant>
        <vt:lpwstr>http://www.ncbi.nlm.nih.gov/pubmed?term=%22Li%20Q%22%5BAuthor%5D&amp;itool=EntrezSystem2.PEntrez.Pubmed.Pubmed_ResultsPanel.Pubmed_RVAbstract</vt:lpwstr>
      </vt:variant>
      <vt:variant>
        <vt:lpwstr/>
      </vt:variant>
      <vt:variant>
        <vt:i4>5636162</vt:i4>
      </vt:variant>
      <vt:variant>
        <vt:i4>12</vt:i4>
      </vt:variant>
      <vt:variant>
        <vt:i4>0</vt:i4>
      </vt:variant>
      <vt:variant>
        <vt:i4>5</vt:i4>
      </vt:variant>
      <vt:variant>
        <vt:lpwstr>http://www.ncbi.nlm.nih.gov/pubmed?term=%22Hauswirth%20WW%22%5BAuthor%5D&amp;itool=EntrezSystem2.PEntrez.Pubmed.Pubmed_ResultsPanel.Pubmed_RVAbstract</vt:lpwstr>
      </vt:variant>
      <vt:variant>
        <vt:lpwstr/>
      </vt:variant>
      <vt:variant>
        <vt:i4>3866663</vt:i4>
      </vt:variant>
      <vt:variant>
        <vt:i4>9</vt:i4>
      </vt:variant>
      <vt:variant>
        <vt:i4>0</vt:i4>
      </vt:variant>
      <vt:variant>
        <vt:i4>5</vt:i4>
      </vt:variant>
      <vt:variant>
        <vt:lpwstr>http://www.ncbi.nlm.nih.gov/pubmed?term=%22Mancuso%20K%22%5BAuthor%5D&amp;itool=EntrezSystem2.PEntrez.Pubmed.Pubmed_ResultsPanel.Pubmed_RVAbstract</vt:lpwstr>
      </vt:variant>
      <vt:variant>
        <vt:lpwstr/>
      </vt:variant>
      <vt:variant>
        <vt:i4>6750219</vt:i4>
      </vt:variant>
      <vt:variant>
        <vt:i4>6</vt:i4>
      </vt:variant>
      <vt:variant>
        <vt:i4>0</vt:i4>
      </vt:variant>
      <vt:variant>
        <vt:i4>5</vt:i4>
      </vt:variant>
      <vt:variant>
        <vt:lpwstr>http://www.ncbi.nlm.nih.gov/entrez/query.fcgi?cmd=Retrieve&amp;db=pubmed&amp;dopt=Abstract&amp;list_uids=19759534</vt:lpwstr>
      </vt:variant>
      <vt:variant>
        <vt:lpwstr/>
      </vt:variant>
      <vt:variant>
        <vt:i4>1704009</vt:i4>
      </vt:variant>
      <vt:variant>
        <vt:i4>3</vt:i4>
      </vt:variant>
      <vt:variant>
        <vt:i4>0</vt:i4>
      </vt:variant>
      <vt:variant>
        <vt:i4>5</vt:i4>
      </vt:variant>
      <vt:variant>
        <vt:lpwstr>http://www.ncbi.nlm.nih.gov/pubmed/19800048?dopt=Abstract</vt:lpwstr>
      </vt:variant>
      <vt:variant>
        <vt:lpwstr/>
      </vt:variant>
      <vt:variant>
        <vt:i4>1704009</vt:i4>
      </vt:variant>
      <vt:variant>
        <vt:i4>0</vt:i4>
      </vt:variant>
      <vt:variant>
        <vt:i4>0</vt:i4>
      </vt:variant>
      <vt:variant>
        <vt:i4>5</vt:i4>
      </vt:variant>
      <vt:variant>
        <vt:lpwstr>http://www.ncbi.nlm.nih.gov/pubmed/19800048?dopt=Abstract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 Divers</dc:title>
  <dc:creator>Francis</dc:creator>
  <cp:lastModifiedBy>Véronique Heloir</cp:lastModifiedBy>
  <cp:revision>2</cp:revision>
  <dcterms:created xsi:type="dcterms:W3CDTF">2021-01-03T23:42:00Z</dcterms:created>
  <dcterms:modified xsi:type="dcterms:W3CDTF">2021-01-03T23:42:00Z</dcterms:modified>
</cp:coreProperties>
</file>